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3B" w:rsidRPr="00061A72" w:rsidRDefault="000475FC" w:rsidP="00781B3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Title: </w:t>
      </w:r>
      <w:r w:rsidR="00061A7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Πέτα την μπάλα</w:t>
      </w:r>
    </w:p>
    <w:p w:rsidR="00E23DFA" w:rsidRPr="008B3FF3" w:rsidRDefault="00781B3B" w:rsidP="00E23DFA">
      <w:pPr>
        <w:spacing w:after="300" w:line="240" w:lineRule="auto"/>
        <w:contextualSpacing/>
        <w:rPr>
          <w:sz w:val="24"/>
        </w:rPr>
      </w:pPr>
      <w:r w:rsidRPr="00310E4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Exercise Code</w:t>
      </w:r>
      <w:r w:rsidR="00FF721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 SLINTEGRA045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E23DFA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23DFA" w:rsidRPr="00E34E16" w:rsidRDefault="00E23DFA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23DFA" w:rsidRPr="00E34E16" w:rsidRDefault="00E23DF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23DFA" w:rsidRPr="00E34E16" w:rsidRDefault="00E23DF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E23DFA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23DFA" w:rsidRPr="000115B0" w:rsidRDefault="00E23D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E23DFA" w:rsidRPr="000115B0" w:rsidRDefault="00E23D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E23DFA" w:rsidRPr="00E34E16" w:rsidRDefault="00E23D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23DFA" w:rsidRPr="00E34E16" w:rsidRDefault="00E23DF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E23DFA" w:rsidRPr="00E34E16" w:rsidRDefault="00E23DF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23DFA" w:rsidRPr="00E34E16" w:rsidRDefault="00E23DF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15 min</w:t>
            </w:r>
          </w:p>
        </w:tc>
      </w:tr>
    </w:tbl>
    <w:p w:rsidR="00781B3B" w:rsidRPr="00310E4F" w:rsidRDefault="00781B3B" w:rsidP="00781B3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224AC0" w:rsidRPr="00224AC0" w:rsidRDefault="00224AC0" w:rsidP="00224AC0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Γνωριμία με</w:t>
      </w:r>
      <w:r w:rsidRPr="00224AC0">
        <w:rPr>
          <w:lang w:val="el-GR"/>
        </w:rPr>
        <w:t xml:space="preserve"> δραστηριότητες επίλυσης συγκρούσεων</w:t>
      </w:r>
    </w:p>
    <w:p w:rsidR="00224AC0" w:rsidRDefault="00224AC0" w:rsidP="00B53148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Αναγνώριση των συναισθημάτων</w:t>
      </w:r>
    </w:p>
    <w:p w:rsidR="00224AC0" w:rsidRPr="00224AC0" w:rsidRDefault="00224AC0" w:rsidP="00B53148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Ανάπτυξη</w:t>
      </w:r>
      <w:r w:rsidRPr="00224AC0">
        <w:rPr>
          <w:lang w:val="el-GR"/>
        </w:rPr>
        <w:t xml:space="preserve"> </w:t>
      </w:r>
      <w:r>
        <w:rPr>
          <w:lang w:val="el-GR"/>
        </w:rPr>
        <w:t xml:space="preserve">της </w:t>
      </w:r>
      <w:r w:rsidRPr="00224AC0">
        <w:rPr>
          <w:lang w:val="el-GR"/>
        </w:rPr>
        <w:t>συναισθηματική</w:t>
      </w:r>
      <w:r>
        <w:rPr>
          <w:lang w:val="el-GR"/>
        </w:rPr>
        <w:t>ς</w:t>
      </w:r>
      <w:r w:rsidRPr="00224AC0">
        <w:rPr>
          <w:lang w:val="el-GR"/>
        </w:rPr>
        <w:t xml:space="preserve"> αυτογνωσία</w:t>
      </w:r>
      <w:r>
        <w:rPr>
          <w:lang w:val="el-GR"/>
        </w:rPr>
        <w:t>ς</w:t>
      </w:r>
    </w:p>
    <w:p w:rsidR="00224AC0" w:rsidRPr="00224AC0" w:rsidRDefault="00224AC0" w:rsidP="00224AC0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Ενίσχυση</w:t>
      </w:r>
      <w:r w:rsidRPr="00224AC0">
        <w:rPr>
          <w:lang w:val="el-GR"/>
        </w:rPr>
        <w:t xml:space="preserve"> </w:t>
      </w:r>
      <w:r>
        <w:rPr>
          <w:lang w:val="el-GR"/>
        </w:rPr>
        <w:t xml:space="preserve">της </w:t>
      </w:r>
      <w:proofErr w:type="spellStart"/>
      <w:r w:rsidRPr="00224AC0">
        <w:rPr>
          <w:lang w:val="el-GR"/>
        </w:rPr>
        <w:t>αυτο</w:t>
      </w:r>
      <w:proofErr w:type="spellEnd"/>
      <w:r w:rsidRPr="00224AC0">
        <w:rPr>
          <w:lang w:val="el-GR"/>
        </w:rPr>
        <w:t>-εικόνα</w:t>
      </w:r>
      <w:r>
        <w:rPr>
          <w:lang w:val="el-GR"/>
        </w:rPr>
        <w:t>ς</w:t>
      </w:r>
      <w:r w:rsidRPr="00224AC0">
        <w:rPr>
          <w:lang w:val="el-GR"/>
        </w:rPr>
        <w:t xml:space="preserve"> και </w:t>
      </w:r>
      <w:r>
        <w:rPr>
          <w:lang w:val="el-GR"/>
        </w:rPr>
        <w:t>της α</w:t>
      </w:r>
      <w:r w:rsidRPr="00224AC0">
        <w:rPr>
          <w:lang w:val="el-GR"/>
        </w:rPr>
        <w:t>υτοπεποίθηση</w:t>
      </w:r>
      <w:r>
        <w:rPr>
          <w:lang w:val="el-GR"/>
        </w:rPr>
        <w:t>ς</w:t>
      </w:r>
      <w:r w:rsidRPr="00224AC0">
        <w:rPr>
          <w:lang w:val="el-GR"/>
        </w:rPr>
        <w:t xml:space="preserve"> του ατόμου</w:t>
      </w:r>
    </w:p>
    <w:p w:rsidR="00224AC0" w:rsidRPr="00224AC0" w:rsidRDefault="00224AC0" w:rsidP="00781B3B">
      <w:pPr>
        <w:ind w:left="720"/>
        <w:contextualSpacing/>
        <w:jc w:val="both"/>
        <w:rPr>
          <w:rFonts w:ascii="Calibri" w:eastAsia="Calibri" w:hAnsi="Calibri" w:cs="Arial"/>
          <w:lang w:val="el-GR"/>
        </w:rPr>
      </w:pPr>
    </w:p>
    <w:p w:rsidR="00781B3B" w:rsidRPr="00224AC0" w:rsidRDefault="00781B3B" w:rsidP="00781B3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</w:t>
      </w:r>
      <w:r w:rsidRPr="00224AC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224AC0" w:rsidRPr="00224AC0" w:rsidRDefault="00224AC0" w:rsidP="00781B3B">
      <w:pPr>
        <w:autoSpaceDE w:val="0"/>
        <w:autoSpaceDN w:val="0"/>
        <w:adjustRightInd w:val="0"/>
        <w:spacing w:after="0"/>
        <w:jc w:val="both"/>
        <w:rPr>
          <w:rFonts w:cs="TTE2334588t00"/>
          <w:lang w:val="el-GR"/>
        </w:rPr>
      </w:pPr>
      <w:r>
        <w:rPr>
          <w:rFonts w:cs="TTE2334588t00"/>
          <w:lang w:val="el-GR"/>
        </w:rPr>
        <w:t>Οι συμμετέχοντες στέκονται σε κύκλο</w:t>
      </w:r>
      <w:r w:rsidRPr="00224AC0">
        <w:rPr>
          <w:rFonts w:cs="TTE2334588t00"/>
          <w:lang w:val="el-GR"/>
        </w:rPr>
        <w:t xml:space="preserve">. Ξεκινήστε </w:t>
      </w:r>
      <w:r>
        <w:rPr>
          <w:rFonts w:cs="TTE2334588t00"/>
          <w:lang w:val="el-GR"/>
        </w:rPr>
        <w:t>συμπληρώνοντας τη φράση</w:t>
      </w:r>
      <w:r w:rsidRPr="00224AC0">
        <w:rPr>
          <w:rFonts w:cs="TTE2334588t00"/>
          <w:lang w:val="el-GR"/>
        </w:rPr>
        <w:t xml:space="preserve"> «αισθάνομαι (θυμωμένος, χαρο</w:t>
      </w:r>
      <w:r>
        <w:rPr>
          <w:rFonts w:cs="TTE2334588t00"/>
          <w:lang w:val="el-GR"/>
        </w:rPr>
        <w:t>ύμενος, λυπημένος ...) όταν ...»</w:t>
      </w:r>
      <w:r w:rsidRPr="00224AC0">
        <w:rPr>
          <w:rFonts w:cs="TTE2334588t00"/>
          <w:lang w:val="el-GR"/>
        </w:rPr>
        <w:t xml:space="preserve"> Διαλέξτε έναν από τους συμμετέχοντες να επαναδιατυπώσει την πρόταση, συμπληρώνοντας </w:t>
      </w:r>
      <w:r>
        <w:rPr>
          <w:rFonts w:cs="TTE2334588t00"/>
          <w:lang w:val="el-GR"/>
        </w:rPr>
        <w:t>το δικό του</w:t>
      </w:r>
      <w:r w:rsidRPr="00224AC0">
        <w:rPr>
          <w:rFonts w:cs="TTE2334588t00"/>
          <w:lang w:val="el-GR"/>
        </w:rPr>
        <w:t xml:space="preserve"> συναίσθημα. </w:t>
      </w:r>
      <w:r>
        <w:rPr>
          <w:rFonts w:cs="TTE2334588t00"/>
          <w:lang w:val="el-GR"/>
        </w:rPr>
        <w:t>Πετάξτε</w:t>
      </w:r>
      <w:r w:rsidRPr="00224AC0">
        <w:rPr>
          <w:rFonts w:cs="TTE2334588t00"/>
          <w:lang w:val="el-GR"/>
        </w:rPr>
        <w:t xml:space="preserve"> την μπάλα προς το εν λόγω πρόσωπο. </w:t>
      </w:r>
      <w:r>
        <w:rPr>
          <w:rFonts w:cs="TTE2334588t00"/>
          <w:lang w:val="el-GR"/>
        </w:rPr>
        <w:t xml:space="preserve">Μόλις αυτός ο </w:t>
      </w:r>
      <w:r w:rsidRPr="00224AC0">
        <w:rPr>
          <w:rFonts w:cs="TTE2334588t00"/>
          <w:lang w:val="el-GR"/>
        </w:rPr>
        <w:t xml:space="preserve">συμμετέχων </w:t>
      </w:r>
      <w:r>
        <w:rPr>
          <w:rFonts w:cs="TTE2334588t00"/>
          <w:lang w:val="el-GR"/>
        </w:rPr>
        <w:t>επαναδιατυπώσει</w:t>
      </w:r>
      <w:r w:rsidRPr="00224AC0">
        <w:rPr>
          <w:rFonts w:cs="TTE2334588t00"/>
          <w:lang w:val="el-GR"/>
        </w:rPr>
        <w:t xml:space="preserve"> την πρόταση, πετάει την μπάλα σε κάποιον άλλο, ο οποίος </w:t>
      </w:r>
      <w:r>
        <w:rPr>
          <w:rFonts w:cs="TTE2334588t00"/>
          <w:lang w:val="el-GR"/>
        </w:rPr>
        <w:t>επαναδιατυπώνει την πρόταση με το</w:t>
      </w:r>
      <w:r w:rsidRPr="00224AC0">
        <w:rPr>
          <w:rFonts w:cs="TTE2334588t00"/>
          <w:lang w:val="el-GR"/>
        </w:rPr>
        <w:t xml:space="preserve"> δικ</w:t>
      </w:r>
      <w:r>
        <w:rPr>
          <w:rFonts w:cs="TTE2334588t00"/>
          <w:lang w:val="el-GR"/>
        </w:rPr>
        <w:t>ό</w:t>
      </w:r>
      <w:r w:rsidRPr="00224AC0">
        <w:rPr>
          <w:rFonts w:cs="TTE2334588t00"/>
          <w:lang w:val="el-GR"/>
        </w:rPr>
        <w:t xml:space="preserve"> </w:t>
      </w:r>
      <w:r>
        <w:rPr>
          <w:rFonts w:cs="TTE2334588t00"/>
          <w:lang w:val="el-GR"/>
        </w:rPr>
        <w:t>του</w:t>
      </w:r>
      <w:r w:rsidRPr="00224AC0">
        <w:rPr>
          <w:rFonts w:cs="TTE2334588t00"/>
          <w:lang w:val="el-GR"/>
        </w:rPr>
        <w:t xml:space="preserve"> </w:t>
      </w:r>
      <w:r>
        <w:rPr>
          <w:rFonts w:cs="TTE2334588t00"/>
          <w:lang w:val="el-GR"/>
        </w:rPr>
        <w:t>συναίσθημα</w:t>
      </w:r>
      <w:r w:rsidRPr="00224AC0">
        <w:rPr>
          <w:rFonts w:cs="TTE2334588t00"/>
          <w:lang w:val="el-GR"/>
        </w:rPr>
        <w:t xml:space="preserve">. </w:t>
      </w:r>
      <w:r>
        <w:rPr>
          <w:rFonts w:cs="TTE2334588t00"/>
          <w:lang w:val="el-GR"/>
        </w:rPr>
        <w:t>Η ομάδα συνεχίζει με αυτόν τον τρόπο την άσκηση.</w:t>
      </w:r>
    </w:p>
    <w:p w:rsidR="00781B3B" w:rsidRPr="00310E4F" w:rsidRDefault="00781B3B" w:rsidP="00781B3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Material:</w:t>
      </w:r>
    </w:p>
    <w:p w:rsidR="00781B3B" w:rsidRPr="00061A72" w:rsidRDefault="00061A72" w:rsidP="00781B3B">
      <w:p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Μαλακή μπάλα</w:t>
      </w:r>
    </w:p>
    <w:p w:rsidR="00E23DFA" w:rsidRDefault="00E23DFA" w:rsidP="00781B3B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0020C4" w:rsidRPr="000020C4" w:rsidRDefault="00781B3B" w:rsidP="00781B3B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781B3B" w:rsidRPr="00224AC0" w:rsidRDefault="00224AC0" w:rsidP="00781B3B">
      <w:pPr>
        <w:spacing w:after="0"/>
        <w:jc w:val="both"/>
        <w:rPr>
          <w:rFonts w:eastAsia="Calibri" w:cs="Times New Roman"/>
          <w:lang w:val="el-GR"/>
        </w:rPr>
      </w:pPr>
      <w:r w:rsidRPr="00224AC0">
        <w:rPr>
          <w:rFonts w:eastAsia="Calibri" w:cs="Times New Roman"/>
          <w:lang w:val="el-GR"/>
        </w:rPr>
        <w:t xml:space="preserve">Η άσκηση μπορεί να χρησιμεύσει </w:t>
      </w:r>
      <w:r>
        <w:rPr>
          <w:rFonts w:eastAsia="Calibri" w:cs="Times New Roman"/>
          <w:lang w:val="el-GR"/>
        </w:rPr>
        <w:t>ως προθέρμανση</w:t>
      </w:r>
      <w:r w:rsidRPr="00224AC0">
        <w:rPr>
          <w:rFonts w:eastAsia="Calibri" w:cs="Times New Roman"/>
          <w:lang w:val="el-GR"/>
        </w:rPr>
        <w:t xml:space="preserve"> σε άλλες ασκήσεις που ασχολούνται με τον τομέα της κατανόησης </w:t>
      </w:r>
      <w:r w:rsidR="00996CF2">
        <w:rPr>
          <w:rFonts w:eastAsia="Calibri" w:cs="Times New Roman"/>
          <w:lang w:val="el-GR"/>
        </w:rPr>
        <w:t>των προσωπικών</w:t>
      </w:r>
      <w:r w:rsidRPr="00224AC0">
        <w:rPr>
          <w:rFonts w:eastAsia="Calibri" w:cs="Times New Roman"/>
          <w:lang w:val="el-GR"/>
        </w:rPr>
        <w:t xml:space="preserve"> </w:t>
      </w:r>
      <w:r w:rsidR="00996CF2">
        <w:rPr>
          <w:rFonts w:eastAsia="Calibri" w:cs="Times New Roman"/>
          <w:lang w:val="el-GR"/>
        </w:rPr>
        <w:t>συναισθημάτων</w:t>
      </w:r>
      <w:r w:rsidRPr="00224AC0">
        <w:rPr>
          <w:rFonts w:eastAsia="Calibri" w:cs="Times New Roman"/>
          <w:lang w:val="el-GR"/>
        </w:rPr>
        <w:t xml:space="preserve">. Η ομάδα δεν πρέπει να σταθεί </w:t>
      </w:r>
      <w:r w:rsidR="00996CF2">
        <w:rPr>
          <w:rFonts w:eastAsia="Calibri" w:cs="Times New Roman"/>
          <w:lang w:val="el-GR"/>
        </w:rPr>
        <w:t xml:space="preserve">σε </w:t>
      </w:r>
      <w:r w:rsidRPr="00224AC0">
        <w:rPr>
          <w:rFonts w:eastAsia="Calibri" w:cs="Times New Roman"/>
          <w:lang w:val="el-GR"/>
        </w:rPr>
        <w:t>πάρα πολύ μεγάλη</w:t>
      </w:r>
      <w:r w:rsidR="00996CF2">
        <w:rPr>
          <w:rFonts w:eastAsia="Calibri" w:cs="Times New Roman"/>
          <w:lang w:val="el-GR"/>
        </w:rPr>
        <w:t xml:space="preserve"> απόσταση</w:t>
      </w:r>
      <w:r w:rsidRPr="00224AC0">
        <w:rPr>
          <w:rFonts w:eastAsia="Calibri" w:cs="Times New Roman"/>
          <w:lang w:val="el-GR"/>
        </w:rPr>
        <w:t xml:space="preserve"> και είναι </w:t>
      </w:r>
      <w:r w:rsidR="00996CF2">
        <w:rPr>
          <w:rFonts w:eastAsia="Calibri" w:cs="Times New Roman"/>
          <w:lang w:val="el-GR"/>
        </w:rPr>
        <w:t>προτιμότερο</w:t>
      </w:r>
      <w:r w:rsidRPr="00224AC0">
        <w:rPr>
          <w:rFonts w:eastAsia="Calibri" w:cs="Times New Roman"/>
          <w:lang w:val="el-GR"/>
        </w:rPr>
        <w:t xml:space="preserve"> να </w:t>
      </w:r>
      <w:r w:rsidR="00996CF2">
        <w:rPr>
          <w:rFonts w:eastAsia="Calibri" w:cs="Times New Roman"/>
          <w:lang w:val="el-GR"/>
        </w:rPr>
        <w:t>δημιουργηθεί</w:t>
      </w:r>
      <w:r w:rsidRPr="00224AC0">
        <w:rPr>
          <w:rFonts w:eastAsia="Calibri" w:cs="Times New Roman"/>
          <w:lang w:val="el-GR"/>
        </w:rPr>
        <w:t xml:space="preserve"> ένα</w:t>
      </w:r>
      <w:r w:rsidR="00996CF2">
        <w:rPr>
          <w:rFonts w:eastAsia="Calibri" w:cs="Times New Roman"/>
          <w:lang w:val="el-GR"/>
        </w:rPr>
        <w:t>ς</w:t>
      </w:r>
      <w:r w:rsidRPr="00224AC0">
        <w:rPr>
          <w:rFonts w:eastAsia="Calibri" w:cs="Times New Roman"/>
          <w:lang w:val="el-GR"/>
        </w:rPr>
        <w:t xml:space="preserve"> μικρότερο</w:t>
      </w:r>
      <w:r w:rsidR="00996CF2">
        <w:rPr>
          <w:rFonts w:eastAsia="Calibri" w:cs="Times New Roman"/>
          <w:lang w:val="el-GR"/>
        </w:rPr>
        <w:t>ς</w:t>
      </w:r>
      <w:r w:rsidRPr="00224AC0">
        <w:rPr>
          <w:rFonts w:eastAsia="Calibri" w:cs="Times New Roman"/>
          <w:lang w:val="el-GR"/>
        </w:rPr>
        <w:t xml:space="preserve"> κύκλο</w:t>
      </w:r>
      <w:r w:rsidR="00996CF2">
        <w:rPr>
          <w:rFonts w:eastAsia="Calibri" w:cs="Times New Roman"/>
          <w:lang w:val="el-GR"/>
        </w:rPr>
        <w:t xml:space="preserve">ς </w:t>
      </w:r>
      <w:r w:rsidRPr="00224AC0">
        <w:rPr>
          <w:rFonts w:eastAsia="Calibri" w:cs="Times New Roman"/>
          <w:lang w:val="el-GR"/>
        </w:rPr>
        <w:t xml:space="preserve">για </w:t>
      </w:r>
      <w:r w:rsidR="00996CF2">
        <w:rPr>
          <w:rFonts w:eastAsia="Calibri" w:cs="Times New Roman"/>
          <w:lang w:val="el-GR"/>
        </w:rPr>
        <w:t>την καλύτερη κυκλοφορία της μπάλας</w:t>
      </w:r>
      <w:r w:rsidRPr="00224AC0">
        <w:rPr>
          <w:rFonts w:eastAsia="Calibri" w:cs="Times New Roman"/>
          <w:lang w:val="el-GR"/>
        </w:rPr>
        <w:t>.</w:t>
      </w:r>
    </w:p>
    <w:p w:rsidR="00996CF2" w:rsidRPr="00996CF2" w:rsidRDefault="00996CF2" w:rsidP="00781B3B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781B3B" w:rsidRPr="00996CF2" w:rsidRDefault="00781B3B" w:rsidP="00781B3B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</w:t>
      </w:r>
      <w:r w:rsidRPr="00996CF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for</w:t>
      </w:r>
      <w:r w:rsidRPr="00996CF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Trainer</w:t>
      </w:r>
      <w:r w:rsidRPr="00996CF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996CF2" w:rsidRPr="00996CF2" w:rsidRDefault="00996CF2" w:rsidP="00781B3B">
      <w:pPr>
        <w:spacing w:after="0"/>
        <w:jc w:val="both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Ο εκπαιδευτής</w:t>
      </w:r>
      <w:r w:rsidRPr="00996CF2">
        <w:rPr>
          <w:rFonts w:eastAsia="Calibri" w:cs="Times New Roman"/>
          <w:lang w:val="el-GR"/>
        </w:rPr>
        <w:t xml:space="preserve"> θα πρέπει να </w:t>
      </w:r>
      <w:r>
        <w:rPr>
          <w:rFonts w:eastAsia="Calibri" w:cs="Times New Roman"/>
          <w:lang w:val="el-GR"/>
        </w:rPr>
        <w:t>αφήνει</w:t>
      </w:r>
      <w:r w:rsidRPr="00996CF2">
        <w:rPr>
          <w:rFonts w:eastAsia="Calibri" w:cs="Times New Roman"/>
          <w:lang w:val="el-GR"/>
        </w:rPr>
        <w:t xml:space="preserve"> σε κάθε συμμετέχοντα όσο </w:t>
      </w:r>
      <w:r>
        <w:rPr>
          <w:rFonts w:eastAsia="Calibri" w:cs="Times New Roman"/>
          <w:lang w:val="el-GR"/>
        </w:rPr>
        <w:t xml:space="preserve">χρονικό διάστημα </w:t>
      </w:r>
      <w:r w:rsidRPr="00996CF2">
        <w:rPr>
          <w:rFonts w:eastAsia="Calibri" w:cs="Times New Roman"/>
          <w:lang w:val="el-GR"/>
        </w:rPr>
        <w:t xml:space="preserve">χρειάζεται. Κάθε συμμετέχων </w:t>
      </w:r>
      <w:r>
        <w:rPr>
          <w:rFonts w:eastAsia="Calibri" w:cs="Times New Roman"/>
          <w:lang w:val="el-GR"/>
        </w:rPr>
        <w:t>έχει ανάγκη</w:t>
      </w:r>
      <w:r w:rsidRPr="00996CF2">
        <w:rPr>
          <w:rFonts w:eastAsia="Calibri" w:cs="Times New Roman"/>
          <w:lang w:val="el-GR"/>
        </w:rPr>
        <w:t xml:space="preserve"> διαφορετικό </w:t>
      </w:r>
      <w:r>
        <w:rPr>
          <w:rFonts w:eastAsia="Calibri" w:cs="Times New Roman"/>
          <w:lang w:val="el-GR"/>
        </w:rPr>
        <w:t xml:space="preserve">χρόνο </w:t>
      </w:r>
      <w:r w:rsidRPr="00996CF2">
        <w:rPr>
          <w:rFonts w:eastAsia="Calibri" w:cs="Times New Roman"/>
          <w:lang w:val="el-GR"/>
        </w:rPr>
        <w:t xml:space="preserve">και είναι σημαντικό </w:t>
      </w:r>
      <w:r>
        <w:rPr>
          <w:rFonts w:eastAsia="Calibri" w:cs="Times New Roman"/>
          <w:lang w:val="el-GR"/>
        </w:rPr>
        <w:t>να</w:t>
      </w:r>
      <w:r w:rsidRPr="00996CF2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μην αισθάνετ</w:t>
      </w:r>
      <w:r w:rsidRPr="00996CF2">
        <w:rPr>
          <w:rFonts w:eastAsia="Calibri" w:cs="Times New Roman"/>
          <w:lang w:val="el-GR"/>
        </w:rPr>
        <w:t xml:space="preserve">αι </w:t>
      </w:r>
      <w:r>
        <w:rPr>
          <w:rFonts w:eastAsia="Calibri" w:cs="Times New Roman"/>
          <w:lang w:val="el-GR"/>
        </w:rPr>
        <w:t>χρονικά περιορισμένος</w:t>
      </w:r>
      <w:r w:rsidRPr="00996CF2">
        <w:rPr>
          <w:rFonts w:eastAsia="Calibri" w:cs="Times New Roman"/>
          <w:lang w:val="el-GR"/>
        </w:rPr>
        <w:t>.</w:t>
      </w:r>
    </w:p>
    <w:p w:rsidR="00996CF2" w:rsidRPr="00996CF2" w:rsidRDefault="00996CF2" w:rsidP="00781B3B">
      <w:pPr>
        <w:spacing w:after="0"/>
        <w:jc w:val="both"/>
        <w:rPr>
          <w:rFonts w:eastAsia="Times New Roman" w:cs="Times New Roman"/>
          <w:lang w:val="el-GR"/>
        </w:rPr>
      </w:pPr>
      <w:bookmarkStart w:id="0" w:name="_GoBack"/>
      <w:bookmarkEnd w:id="0"/>
    </w:p>
    <w:p w:rsidR="00781B3B" w:rsidRPr="00996CF2" w:rsidRDefault="00781B3B" w:rsidP="00781B3B">
      <w:pPr>
        <w:rPr>
          <w:rFonts w:ascii="Calibri" w:eastAsia="Calibri" w:hAnsi="Calibri" w:cs="Arial"/>
          <w:color w:val="FF0000"/>
          <w:sz w:val="20"/>
          <w:szCs w:val="20"/>
          <w:lang w:val="el-GR"/>
        </w:rPr>
      </w:pPr>
    </w:p>
    <w:p w:rsidR="00781B3B" w:rsidRDefault="00781B3B" w:rsidP="00781B3B">
      <w:pPr>
        <w:keepNext/>
        <w:keepLines/>
        <w:spacing w:after="0"/>
        <w:outlineLvl w:val="0"/>
        <w:rPr>
          <w:rFonts w:ascii="TTE233F008t00" w:hAnsi="TTE233F008t00" w:cs="TTE233F008t00"/>
          <w:sz w:val="36"/>
          <w:szCs w:val="36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lastRenderedPageBreak/>
        <w:t>Source/Literature:</w:t>
      </w:r>
      <w:r w:rsidRPr="00A31DD0">
        <w:rPr>
          <w:rFonts w:ascii="TTE233F008t00" w:hAnsi="TTE233F008t00" w:cs="TTE233F008t00"/>
          <w:sz w:val="36"/>
          <w:szCs w:val="36"/>
        </w:rPr>
        <w:t xml:space="preserve"> </w:t>
      </w:r>
    </w:p>
    <w:p w:rsidR="00E23DFA" w:rsidRPr="00E23DFA" w:rsidRDefault="00E23DFA" w:rsidP="00E23DFA">
      <w:pPr>
        <w:spacing w:after="0"/>
        <w:jc w:val="both"/>
        <w:rPr>
          <w:rFonts w:eastAsia="Times New Roman" w:cs="Times New Roman"/>
        </w:rPr>
      </w:pPr>
      <w:r w:rsidRPr="00E23DFA">
        <w:rPr>
          <w:rFonts w:eastAsia="Calibri" w:cs="Times New Roman"/>
        </w:rPr>
        <w:t xml:space="preserve">INTEGRA INŠTITUT, </w:t>
      </w:r>
      <w:proofErr w:type="spellStart"/>
      <w:r w:rsidRPr="00E23DFA">
        <w:rPr>
          <w:rFonts w:eastAsia="Calibri" w:cs="Times New Roman"/>
        </w:rPr>
        <w:t>Inštitut</w:t>
      </w:r>
      <w:proofErr w:type="spellEnd"/>
      <w:r w:rsidRPr="00E23DFA">
        <w:rPr>
          <w:rFonts w:eastAsia="Calibri" w:cs="Times New Roman"/>
        </w:rPr>
        <w:t xml:space="preserve"> </w:t>
      </w:r>
      <w:proofErr w:type="spellStart"/>
      <w:r w:rsidRPr="00E23DFA">
        <w:rPr>
          <w:rFonts w:eastAsia="Calibri" w:cs="Times New Roman"/>
        </w:rPr>
        <w:t>za</w:t>
      </w:r>
      <w:proofErr w:type="spellEnd"/>
      <w:r w:rsidRPr="00E23DFA">
        <w:rPr>
          <w:rFonts w:eastAsia="Calibri" w:cs="Times New Roman"/>
        </w:rPr>
        <w:t xml:space="preserve"> </w:t>
      </w:r>
      <w:proofErr w:type="spellStart"/>
      <w:r w:rsidRPr="00E23DFA">
        <w:rPr>
          <w:rFonts w:eastAsia="Calibri" w:cs="Times New Roman"/>
        </w:rPr>
        <w:t>razvoj</w:t>
      </w:r>
      <w:proofErr w:type="spellEnd"/>
      <w:r w:rsidRPr="00E23DFA">
        <w:rPr>
          <w:rFonts w:eastAsia="Calibri" w:cs="Times New Roman"/>
        </w:rPr>
        <w:t xml:space="preserve"> </w:t>
      </w:r>
      <w:proofErr w:type="spellStart"/>
      <w:r w:rsidRPr="00E23DFA">
        <w:rPr>
          <w:rFonts w:eastAsia="Calibri" w:cs="Times New Roman"/>
        </w:rPr>
        <w:t>človeških</w:t>
      </w:r>
      <w:proofErr w:type="spellEnd"/>
      <w:r w:rsidRPr="00E23DFA">
        <w:rPr>
          <w:rFonts w:eastAsia="Calibri" w:cs="Times New Roman"/>
        </w:rPr>
        <w:t xml:space="preserve"> </w:t>
      </w:r>
      <w:proofErr w:type="spellStart"/>
      <w:r w:rsidRPr="00E23DFA">
        <w:rPr>
          <w:rFonts w:eastAsia="Calibri" w:cs="Times New Roman"/>
        </w:rPr>
        <w:t>virov</w:t>
      </w:r>
      <w:proofErr w:type="spellEnd"/>
    </w:p>
    <w:p w:rsidR="004F24D9" w:rsidRDefault="004F24D9" w:rsidP="00E23DFA">
      <w:pPr>
        <w:spacing w:after="300" w:line="240" w:lineRule="auto"/>
        <w:contextualSpacing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AC" w:rsidRDefault="00207EAC" w:rsidP="000D1CD3">
      <w:pPr>
        <w:spacing w:after="0" w:line="240" w:lineRule="auto"/>
      </w:pPr>
      <w:r>
        <w:separator/>
      </w:r>
    </w:p>
  </w:endnote>
  <w:endnote w:type="continuationSeparator" w:id="0">
    <w:p w:rsidR="00207EAC" w:rsidRDefault="00207EA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TE23345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33F00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AC" w:rsidRDefault="00207EAC" w:rsidP="000D1CD3">
      <w:pPr>
        <w:spacing w:after="0" w:line="240" w:lineRule="auto"/>
      </w:pPr>
      <w:r>
        <w:separator/>
      </w:r>
    </w:p>
  </w:footnote>
  <w:footnote w:type="continuationSeparator" w:id="0">
    <w:p w:rsidR="00207EAC" w:rsidRDefault="00207EA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D5C12"/>
    <w:multiLevelType w:val="hybridMultilevel"/>
    <w:tmpl w:val="D53A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0C4"/>
    <w:rsid w:val="0000279A"/>
    <w:rsid w:val="000115B0"/>
    <w:rsid w:val="000149C3"/>
    <w:rsid w:val="00045427"/>
    <w:rsid w:val="000475FC"/>
    <w:rsid w:val="00061A72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07EAC"/>
    <w:rsid w:val="00210220"/>
    <w:rsid w:val="00221BD4"/>
    <w:rsid w:val="00224AC0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42D2A"/>
    <w:rsid w:val="00350EBF"/>
    <w:rsid w:val="00353B74"/>
    <w:rsid w:val="00365016"/>
    <w:rsid w:val="003F45D8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F24D9"/>
    <w:rsid w:val="005015ED"/>
    <w:rsid w:val="00527449"/>
    <w:rsid w:val="00552140"/>
    <w:rsid w:val="00553EC2"/>
    <w:rsid w:val="0058475A"/>
    <w:rsid w:val="00587A1A"/>
    <w:rsid w:val="00596558"/>
    <w:rsid w:val="005A3874"/>
    <w:rsid w:val="005D0E86"/>
    <w:rsid w:val="005D416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0446"/>
    <w:rsid w:val="00767F76"/>
    <w:rsid w:val="007703C8"/>
    <w:rsid w:val="00770B7E"/>
    <w:rsid w:val="00776F7C"/>
    <w:rsid w:val="00781B3B"/>
    <w:rsid w:val="007824EF"/>
    <w:rsid w:val="007A39AC"/>
    <w:rsid w:val="007A5362"/>
    <w:rsid w:val="007B008D"/>
    <w:rsid w:val="007B0D89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96CF2"/>
    <w:rsid w:val="009B5C8D"/>
    <w:rsid w:val="009C113C"/>
    <w:rsid w:val="009D786C"/>
    <w:rsid w:val="009E3274"/>
    <w:rsid w:val="009E4BF2"/>
    <w:rsid w:val="009F13D9"/>
    <w:rsid w:val="00A249AA"/>
    <w:rsid w:val="00A432CA"/>
    <w:rsid w:val="00A67F6F"/>
    <w:rsid w:val="00AB1154"/>
    <w:rsid w:val="00AB74AB"/>
    <w:rsid w:val="00AC344D"/>
    <w:rsid w:val="00AC4722"/>
    <w:rsid w:val="00AF4D6B"/>
    <w:rsid w:val="00B10397"/>
    <w:rsid w:val="00B16F0F"/>
    <w:rsid w:val="00B21066"/>
    <w:rsid w:val="00B56F34"/>
    <w:rsid w:val="00B83669"/>
    <w:rsid w:val="00B91FAB"/>
    <w:rsid w:val="00BB1470"/>
    <w:rsid w:val="00BB639F"/>
    <w:rsid w:val="00BC1CFE"/>
    <w:rsid w:val="00BF1281"/>
    <w:rsid w:val="00C23C0F"/>
    <w:rsid w:val="00C30713"/>
    <w:rsid w:val="00C51F49"/>
    <w:rsid w:val="00C63C35"/>
    <w:rsid w:val="00C70780"/>
    <w:rsid w:val="00C735EF"/>
    <w:rsid w:val="00C80277"/>
    <w:rsid w:val="00CB3C0A"/>
    <w:rsid w:val="00CB5669"/>
    <w:rsid w:val="00CC060C"/>
    <w:rsid w:val="00CC24CA"/>
    <w:rsid w:val="00CE2C18"/>
    <w:rsid w:val="00D11D47"/>
    <w:rsid w:val="00D22DBC"/>
    <w:rsid w:val="00D32CC8"/>
    <w:rsid w:val="00DA0B5C"/>
    <w:rsid w:val="00DB016A"/>
    <w:rsid w:val="00DE3606"/>
    <w:rsid w:val="00E06AB5"/>
    <w:rsid w:val="00E207CA"/>
    <w:rsid w:val="00E23DF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C778E"/>
    <w:rsid w:val="00EE79A8"/>
    <w:rsid w:val="00F0485A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F9CE4-057E-44F5-8761-7043C729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3">
    <w:name w:val="Svetlo senčenje – poudarek 53"/>
    <w:basedOn w:val="a1"/>
    <w:next w:val="-5"/>
    <w:uiPriority w:val="60"/>
    <w:rsid w:val="005D416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4">
    <w:name w:val="Svetlo senčenje – poudarek 54"/>
    <w:basedOn w:val="a1"/>
    <w:next w:val="-5"/>
    <w:uiPriority w:val="60"/>
    <w:rsid w:val="00A67F6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5">
    <w:name w:val="Svetlo senčenje – poudarek 55"/>
    <w:basedOn w:val="a1"/>
    <w:next w:val="-5"/>
    <w:uiPriority w:val="60"/>
    <w:rsid w:val="00596558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6">
    <w:name w:val="Svetlo senčenje – poudarek 56"/>
    <w:basedOn w:val="a1"/>
    <w:next w:val="-5"/>
    <w:uiPriority w:val="60"/>
    <w:rsid w:val="00781B3B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01E0-4C46-4CB3-B888-DB0DEFC9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2015-02-23T09:11:00Z</dcterms:created>
  <dcterms:modified xsi:type="dcterms:W3CDTF">2015-02-23T09:29:00Z</dcterms:modified>
</cp:coreProperties>
</file>