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E02" w:rsidRPr="00E32E02" w:rsidRDefault="00E32E02" w:rsidP="00E32E02">
      <w:pPr>
        <w:spacing w:after="300" w:line="240" w:lineRule="auto"/>
        <w:contextualSpacing/>
        <w:rPr>
          <w:rFonts w:ascii="Cambria" w:eastAsia="Times New Roman" w:hAnsi="Cambria" w:cs="Times New Roman"/>
          <w:color w:val="17365D"/>
          <w:spacing w:val="5"/>
          <w:kern w:val="28"/>
          <w:sz w:val="44"/>
          <w:szCs w:val="52"/>
          <w:lang w:val="sl-SI"/>
        </w:rPr>
      </w:pPr>
      <w:r w:rsidRPr="00E32E02">
        <w:rPr>
          <w:rFonts w:ascii="Cambria" w:eastAsia="Times New Roman" w:hAnsi="Cambria" w:cs="Times New Roman"/>
          <w:color w:val="17365D"/>
          <w:spacing w:val="5"/>
          <w:kern w:val="28"/>
          <w:sz w:val="44"/>
          <w:szCs w:val="52"/>
          <w:lang w:val="sl-SI"/>
        </w:rPr>
        <w:t>Naslov: Previdno poslušanje</w:t>
      </w:r>
      <w:bookmarkStart w:id="0" w:name="_GoBack"/>
      <w:r w:rsidR="00521D0D" w:rsidRPr="00521D0D">
        <w:rPr>
          <w:rFonts w:ascii="Cambria" w:eastAsia="Times New Roman" w:hAnsi="Cambria" w:cs="Times New Roman"/>
          <w:color w:val="1F497D" w:themeColor="text2"/>
          <w:spacing w:val="5"/>
          <w:kern w:val="28"/>
          <w:sz w:val="44"/>
          <w:szCs w:val="52"/>
          <w:lang w:val="sl-SI"/>
        </w:rPr>
        <w:t xml:space="preserve"> (</w:t>
      </w:r>
      <w:r w:rsidR="00521D0D" w:rsidRPr="00521D0D">
        <w:rPr>
          <w:color w:val="1F497D" w:themeColor="text2"/>
          <w:sz w:val="44"/>
        </w:rPr>
        <w:t>Careful Listening</w:t>
      </w:r>
      <w:r w:rsidR="00521D0D" w:rsidRPr="00521D0D">
        <w:rPr>
          <w:color w:val="1F497D" w:themeColor="text2"/>
          <w:sz w:val="44"/>
        </w:rPr>
        <w:t>)</w:t>
      </w:r>
      <w:bookmarkEnd w:id="0"/>
    </w:p>
    <w:p w:rsidR="00E32E02" w:rsidRPr="00E32E02" w:rsidRDefault="00E32E02" w:rsidP="00E32E02">
      <w:pPr>
        <w:spacing w:after="300" w:line="240" w:lineRule="auto"/>
        <w:contextualSpacing/>
        <w:rPr>
          <w:rFonts w:ascii="Cambria" w:eastAsia="Times New Roman" w:hAnsi="Cambria" w:cs="Times New Roman"/>
          <w:color w:val="17365D"/>
          <w:spacing w:val="5"/>
          <w:kern w:val="28"/>
          <w:sz w:val="24"/>
          <w:szCs w:val="52"/>
          <w:lang w:val="sl-SI"/>
        </w:rPr>
      </w:pPr>
      <w:r w:rsidRPr="00E32E02">
        <w:rPr>
          <w:rFonts w:ascii="Cambria" w:eastAsia="Times New Roman" w:hAnsi="Cambria" w:cs="Times New Roman"/>
          <w:color w:val="17365D"/>
          <w:spacing w:val="5"/>
          <w:kern w:val="28"/>
          <w:sz w:val="24"/>
          <w:szCs w:val="52"/>
          <w:lang w:val="sl-SI"/>
        </w:rPr>
        <w:t>Koda Vaje: SLECC008</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E32E02" w:rsidRPr="00E32E02" w:rsidTr="008C2E83">
        <w:tc>
          <w:tcPr>
            <w:tcW w:w="4253" w:type="dxa"/>
            <w:shd w:val="clear" w:color="auto" w:fill="9CD45E"/>
          </w:tcPr>
          <w:p w:rsidR="00E32E02" w:rsidRPr="00E32E02" w:rsidRDefault="00E32E02" w:rsidP="00E32E02">
            <w:pPr>
              <w:spacing w:after="0" w:line="240" w:lineRule="auto"/>
              <w:rPr>
                <w:rFonts w:ascii="Calibri" w:eastAsia="Calibri" w:hAnsi="Calibri" w:cs="Arial"/>
                <w:b/>
                <w:bCs/>
                <w:color w:val="17365D"/>
                <w:lang w:val="sl-SI"/>
              </w:rPr>
            </w:pPr>
            <w:r w:rsidRPr="00E32E02">
              <w:rPr>
                <w:rFonts w:ascii="Calibri" w:eastAsia="Calibri" w:hAnsi="Calibri" w:cs="Arial"/>
                <w:b/>
                <w:bCs/>
                <w:color w:val="17365D"/>
                <w:lang w:val="sl-SI"/>
              </w:rPr>
              <w:t>Moduli:</w:t>
            </w:r>
          </w:p>
        </w:tc>
        <w:tc>
          <w:tcPr>
            <w:tcW w:w="3118" w:type="dxa"/>
            <w:shd w:val="clear" w:color="auto" w:fill="9CD45E"/>
          </w:tcPr>
          <w:p w:rsidR="00E32E02" w:rsidRPr="00E32E02" w:rsidRDefault="00E32E02" w:rsidP="00E32E02">
            <w:pPr>
              <w:spacing w:after="0" w:line="240" w:lineRule="auto"/>
              <w:rPr>
                <w:rFonts w:ascii="Calibri" w:eastAsia="Calibri" w:hAnsi="Calibri" w:cs="Arial"/>
                <w:b/>
                <w:bCs/>
                <w:color w:val="17365D"/>
                <w:lang w:val="sl-SI"/>
              </w:rPr>
            </w:pPr>
            <w:r w:rsidRPr="00E32E02">
              <w:rPr>
                <w:rFonts w:ascii="Calibri" w:eastAsia="Calibri" w:hAnsi="Calibri" w:cs="Arial"/>
                <w:b/>
                <w:bCs/>
                <w:color w:val="17365D"/>
                <w:lang w:val="sl-SI"/>
              </w:rPr>
              <w:t>Velikost skupine:</w:t>
            </w:r>
          </w:p>
        </w:tc>
        <w:tc>
          <w:tcPr>
            <w:tcW w:w="1560" w:type="dxa"/>
            <w:shd w:val="clear" w:color="auto" w:fill="9CD45E"/>
          </w:tcPr>
          <w:p w:rsidR="00E32E02" w:rsidRPr="00E32E02" w:rsidRDefault="00E32E02" w:rsidP="00E32E02">
            <w:pPr>
              <w:spacing w:after="0" w:line="240" w:lineRule="auto"/>
              <w:rPr>
                <w:rFonts w:ascii="Calibri" w:eastAsia="Calibri" w:hAnsi="Calibri" w:cs="Arial"/>
                <w:b/>
                <w:bCs/>
                <w:color w:val="17365D"/>
                <w:lang w:val="sl-SI"/>
              </w:rPr>
            </w:pPr>
            <w:r w:rsidRPr="00E32E02">
              <w:rPr>
                <w:rFonts w:ascii="Calibri" w:eastAsia="Calibri" w:hAnsi="Calibri" w:cs="Arial"/>
                <w:b/>
                <w:bCs/>
                <w:color w:val="17365D"/>
                <w:lang w:val="sl-SI"/>
              </w:rPr>
              <w:t>Trajanje:</w:t>
            </w:r>
          </w:p>
        </w:tc>
      </w:tr>
      <w:tr w:rsidR="00E32E02" w:rsidRPr="00E32E02" w:rsidTr="008C2E83">
        <w:tc>
          <w:tcPr>
            <w:tcW w:w="4253" w:type="dxa"/>
            <w:shd w:val="clear" w:color="auto" w:fill="D9D9D9"/>
          </w:tcPr>
          <w:p w:rsidR="00E32E02" w:rsidRPr="00E32E02" w:rsidRDefault="00E32E02" w:rsidP="00E32E02">
            <w:pPr>
              <w:spacing w:after="0" w:line="240" w:lineRule="auto"/>
              <w:rPr>
                <w:rFonts w:ascii="Calibri" w:eastAsia="Calibri" w:hAnsi="Calibri" w:cs="Arial"/>
                <w:b/>
                <w:bCs/>
                <w:color w:val="17365D"/>
                <w:lang w:val="sl-SI"/>
              </w:rPr>
            </w:pPr>
            <w:r w:rsidRPr="00E32E02">
              <w:rPr>
                <w:rFonts w:ascii="Calibri" w:eastAsia="Calibri" w:hAnsi="Calibri" w:cs="Arial"/>
                <w:bCs/>
                <w:color w:val="17365D"/>
                <w:lang w:val="sl-SI"/>
              </w:rPr>
              <w:t xml:space="preserve">1.     Socialno učenje </w:t>
            </w:r>
          </w:p>
          <w:p w:rsidR="00E32E02" w:rsidRPr="00E32E02" w:rsidRDefault="00E32E02" w:rsidP="00E32E02">
            <w:pPr>
              <w:spacing w:after="0" w:line="240" w:lineRule="auto"/>
              <w:rPr>
                <w:rFonts w:ascii="Calibri" w:eastAsia="Calibri" w:hAnsi="Calibri" w:cs="Arial"/>
                <w:b/>
                <w:bCs/>
                <w:color w:val="17365D"/>
                <w:lang w:val="sl-SI"/>
              </w:rPr>
            </w:pPr>
            <w:r w:rsidRPr="00E32E02">
              <w:rPr>
                <w:rFonts w:ascii="Calibri" w:eastAsia="Calibri" w:hAnsi="Calibri" w:cs="Arial"/>
                <w:bCs/>
                <w:color w:val="17365D"/>
                <w:lang w:val="sl-SI"/>
              </w:rPr>
              <w:t>3.     Osebna integriteta</w:t>
            </w:r>
          </w:p>
          <w:p w:rsidR="00E32E02" w:rsidRPr="00E32E02" w:rsidRDefault="00E32E02" w:rsidP="00E32E02">
            <w:pPr>
              <w:spacing w:after="0" w:line="240" w:lineRule="auto"/>
              <w:rPr>
                <w:rFonts w:ascii="Calibri" w:eastAsia="Calibri" w:hAnsi="Calibri" w:cs="Arial"/>
                <w:b/>
                <w:bCs/>
                <w:color w:val="17365D"/>
                <w:lang w:val="sl-SI"/>
              </w:rPr>
            </w:pPr>
            <w:r w:rsidRPr="00E32E02">
              <w:rPr>
                <w:rFonts w:ascii="Calibri" w:eastAsia="Calibri" w:hAnsi="Calibri" w:cs="Arial"/>
                <w:bCs/>
                <w:color w:val="17365D"/>
                <w:lang w:val="sl-SI"/>
              </w:rPr>
              <w:t>4.     Poklicna integriteta</w:t>
            </w:r>
          </w:p>
          <w:p w:rsidR="00E32E02" w:rsidRPr="00E32E02" w:rsidRDefault="00E32E02" w:rsidP="00E32E02">
            <w:pPr>
              <w:spacing w:after="0" w:line="240" w:lineRule="auto"/>
              <w:rPr>
                <w:rFonts w:ascii="Calibri" w:eastAsia="Calibri" w:hAnsi="Calibri" w:cs="Arial"/>
                <w:b/>
                <w:bCs/>
                <w:color w:val="17365D"/>
                <w:lang w:val="sl-SI"/>
              </w:rPr>
            </w:pPr>
            <w:r w:rsidRPr="00E32E02">
              <w:rPr>
                <w:rFonts w:ascii="Calibri" w:eastAsia="Calibri" w:hAnsi="Calibri" w:cs="Arial"/>
                <w:bCs/>
                <w:color w:val="17365D"/>
                <w:lang w:val="sl-SI"/>
              </w:rPr>
              <w:t>5.      Strategije reševanja konfliktov</w:t>
            </w:r>
          </w:p>
          <w:p w:rsidR="00E32E02" w:rsidRPr="00E32E02" w:rsidRDefault="00E32E02" w:rsidP="00E32E02">
            <w:pPr>
              <w:spacing w:after="0" w:line="240" w:lineRule="auto"/>
              <w:rPr>
                <w:rFonts w:ascii="Calibri" w:eastAsia="Calibri" w:hAnsi="Calibri" w:cs="Arial"/>
                <w:b/>
                <w:bCs/>
                <w:color w:val="17365D"/>
                <w:lang w:val="sl-SI"/>
              </w:rPr>
            </w:pPr>
            <w:r w:rsidRPr="00E32E02">
              <w:rPr>
                <w:rFonts w:ascii="Calibri" w:eastAsia="Calibri" w:hAnsi="Calibri" w:cs="Arial"/>
                <w:bCs/>
                <w:color w:val="17365D"/>
                <w:lang w:val="sl-SI"/>
              </w:rPr>
              <w:t>6.      Strategije reševanja problemov</w:t>
            </w:r>
          </w:p>
          <w:p w:rsidR="00E32E02" w:rsidRPr="00E32E02" w:rsidRDefault="00E32E02" w:rsidP="00E32E02">
            <w:pPr>
              <w:spacing w:after="0" w:line="240" w:lineRule="auto"/>
              <w:rPr>
                <w:rFonts w:ascii="Calibri" w:eastAsia="Calibri" w:hAnsi="Calibri" w:cs="Arial"/>
                <w:b/>
                <w:bCs/>
                <w:color w:val="17365D"/>
                <w:lang w:val="sl-SI"/>
              </w:rPr>
            </w:pPr>
            <w:r w:rsidRPr="00E32E02">
              <w:rPr>
                <w:rFonts w:ascii="Calibri" w:eastAsia="Calibri" w:hAnsi="Calibri" w:cs="Arial"/>
                <w:bCs/>
                <w:color w:val="17365D"/>
                <w:lang w:val="sl-SI"/>
              </w:rPr>
              <w:t xml:space="preserve"> </w:t>
            </w:r>
          </w:p>
        </w:tc>
        <w:tc>
          <w:tcPr>
            <w:tcW w:w="3118" w:type="dxa"/>
            <w:shd w:val="clear" w:color="auto" w:fill="D9D9D9"/>
          </w:tcPr>
          <w:p w:rsidR="00E32E02" w:rsidRPr="00E32E02" w:rsidRDefault="00E32E02" w:rsidP="00E32E02">
            <w:pPr>
              <w:spacing w:after="0" w:line="240" w:lineRule="auto"/>
              <w:rPr>
                <w:rFonts w:ascii="Calibri" w:eastAsia="Calibri" w:hAnsi="Calibri" w:cs="Arial"/>
                <w:color w:val="17365D"/>
                <w:lang w:val="sl-SI"/>
              </w:rPr>
            </w:pPr>
            <w:r w:rsidRPr="00E32E02">
              <w:rPr>
                <w:rFonts w:ascii="Calibri" w:eastAsia="Calibri" w:hAnsi="Calibri" w:cs="Arial"/>
                <w:color w:val="17365D"/>
                <w:lang w:val="sl-SI"/>
              </w:rPr>
              <w:t xml:space="preserve">Majhna skupina </w:t>
            </w:r>
          </w:p>
          <w:p w:rsidR="00E32E02" w:rsidRPr="00E32E02" w:rsidRDefault="00E32E02" w:rsidP="00E32E02">
            <w:pPr>
              <w:spacing w:after="0" w:line="240" w:lineRule="auto"/>
              <w:rPr>
                <w:rFonts w:ascii="Calibri" w:eastAsia="Calibri" w:hAnsi="Calibri" w:cs="Arial"/>
                <w:color w:val="17365D"/>
                <w:lang w:val="sl-SI"/>
              </w:rPr>
            </w:pPr>
          </w:p>
        </w:tc>
        <w:tc>
          <w:tcPr>
            <w:tcW w:w="1560" w:type="dxa"/>
            <w:shd w:val="clear" w:color="auto" w:fill="D9D9D9"/>
          </w:tcPr>
          <w:p w:rsidR="00E32E02" w:rsidRPr="00E32E02" w:rsidRDefault="00E32E02" w:rsidP="00E32E02">
            <w:pPr>
              <w:spacing w:after="0" w:line="240" w:lineRule="auto"/>
              <w:rPr>
                <w:rFonts w:ascii="Calibri" w:eastAsia="Calibri" w:hAnsi="Calibri" w:cs="Arial"/>
                <w:color w:val="17365D"/>
                <w:lang w:val="sl-SI"/>
              </w:rPr>
            </w:pPr>
            <w:r w:rsidRPr="00E32E02">
              <w:rPr>
                <w:rFonts w:ascii="Calibri" w:eastAsia="Calibri" w:hAnsi="Calibri" w:cs="Arial"/>
                <w:color w:val="17365D"/>
                <w:lang w:val="sl-SI"/>
              </w:rPr>
              <w:t>45 min</w:t>
            </w:r>
          </w:p>
        </w:tc>
      </w:tr>
    </w:tbl>
    <w:p w:rsidR="00E32E02" w:rsidRPr="00E32E02" w:rsidRDefault="00E32E02" w:rsidP="00E32E02">
      <w:pPr>
        <w:keepNext/>
        <w:keepLines/>
        <w:spacing w:before="480" w:after="0"/>
        <w:outlineLvl w:val="0"/>
        <w:rPr>
          <w:rFonts w:ascii="Cambria" w:eastAsia="Times New Roman" w:hAnsi="Cambria" w:cs="Times New Roman"/>
          <w:b/>
          <w:bCs/>
          <w:color w:val="17365D"/>
          <w:sz w:val="28"/>
          <w:szCs w:val="28"/>
          <w:lang w:val="sl-SI"/>
        </w:rPr>
      </w:pPr>
      <w:r w:rsidRPr="00E32E02">
        <w:rPr>
          <w:rFonts w:ascii="Cambria" w:eastAsia="Times New Roman" w:hAnsi="Cambria" w:cs="Times New Roman"/>
          <w:b/>
          <w:bCs/>
          <w:color w:val="17365D"/>
          <w:sz w:val="28"/>
          <w:szCs w:val="28"/>
          <w:lang w:val="sl-SI"/>
        </w:rPr>
        <w:t xml:space="preserve">Namen: </w:t>
      </w:r>
    </w:p>
    <w:p w:rsidR="00E32E02" w:rsidRPr="00E32E02" w:rsidRDefault="00E32E02" w:rsidP="00E32E02">
      <w:pPr>
        <w:rPr>
          <w:rFonts w:ascii="Calibri" w:eastAsia="Calibri" w:hAnsi="Calibri" w:cs="Arial"/>
          <w:lang w:val="sl-SI"/>
        </w:rPr>
      </w:pPr>
      <w:r w:rsidRPr="00E32E02">
        <w:rPr>
          <w:rFonts w:ascii="Calibri" w:eastAsia="Calibri" w:hAnsi="Calibri" w:cs="Arial"/>
          <w:lang w:val="sl-SI"/>
        </w:rPr>
        <w:t xml:space="preserve">Aktivno poslušanje je ključna komunikacijska veščina in je pomembno, da jo znamo </w:t>
      </w:r>
      <w:proofErr w:type="spellStart"/>
      <w:r w:rsidRPr="00E32E02">
        <w:rPr>
          <w:rFonts w:ascii="Calibri" w:eastAsia="Calibri" w:hAnsi="Calibri" w:cs="Arial"/>
          <w:lang w:val="sl-SI"/>
        </w:rPr>
        <w:t>uporabljati.Active</w:t>
      </w:r>
      <w:proofErr w:type="spellEnd"/>
      <w:r w:rsidRPr="00E32E02">
        <w:rPr>
          <w:rFonts w:ascii="Calibri" w:eastAsia="Calibri" w:hAnsi="Calibri" w:cs="Arial"/>
          <w:lang w:val="sl-SI"/>
        </w:rPr>
        <w:t xml:space="preserve"> </w:t>
      </w:r>
      <w:proofErr w:type="spellStart"/>
      <w:r w:rsidRPr="00E32E02">
        <w:rPr>
          <w:rFonts w:ascii="Calibri" w:eastAsia="Calibri" w:hAnsi="Calibri" w:cs="Arial"/>
          <w:lang w:val="sl-SI"/>
        </w:rPr>
        <w:t>listening</w:t>
      </w:r>
      <w:proofErr w:type="spellEnd"/>
      <w:r w:rsidRPr="00E32E02">
        <w:rPr>
          <w:rFonts w:ascii="Calibri" w:eastAsia="Calibri" w:hAnsi="Calibri" w:cs="Arial"/>
          <w:lang w:val="sl-SI"/>
        </w:rPr>
        <w:t xml:space="preserve"> is a </w:t>
      </w:r>
      <w:proofErr w:type="spellStart"/>
      <w:r w:rsidRPr="00E32E02">
        <w:rPr>
          <w:rFonts w:ascii="Calibri" w:eastAsia="Calibri" w:hAnsi="Calibri" w:cs="Arial"/>
          <w:lang w:val="sl-SI"/>
        </w:rPr>
        <w:t>critical</w:t>
      </w:r>
      <w:proofErr w:type="spellEnd"/>
      <w:r w:rsidRPr="00E32E02">
        <w:rPr>
          <w:rFonts w:ascii="Calibri" w:eastAsia="Calibri" w:hAnsi="Calibri" w:cs="Arial"/>
          <w:lang w:val="sl-SI"/>
        </w:rPr>
        <w:t xml:space="preserve"> </w:t>
      </w:r>
      <w:proofErr w:type="spellStart"/>
      <w:r w:rsidRPr="00E32E02">
        <w:rPr>
          <w:rFonts w:ascii="Calibri" w:eastAsia="Calibri" w:hAnsi="Calibri" w:cs="Arial"/>
          <w:lang w:val="sl-SI"/>
        </w:rPr>
        <w:t>communication</w:t>
      </w:r>
      <w:proofErr w:type="spellEnd"/>
      <w:r w:rsidRPr="00E32E02">
        <w:rPr>
          <w:rFonts w:ascii="Calibri" w:eastAsia="Calibri" w:hAnsi="Calibri" w:cs="Arial"/>
          <w:lang w:val="sl-SI"/>
        </w:rPr>
        <w:t xml:space="preserve"> </w:t>
      </w:r>
      <w:proofErr w:type="spellStart"/>
      <w:r w:rsidRPr="00E32E02">
        <w:rPr>
          <w:rFonts w:ascii="Calibri" w:eastAsia="Calibri" w:hAnsi="Calibri" w:cs="Arial"/>
          <w:lang w:val="sl-SI"/>
        </w:rPr>
        <w:t>skill</w:t>
      </w:r>
      <w:proofErr w:type="spellEnd"/>
      <w:r w:rsidRPr="00E32E02">
        <w:rPr>
          <w:rFonts w:ascii="Calibri" w:eastAsia="Calibri" w:hAnsi="Calibri" w:cs="Arial"/>
          <w:lang w:val="sl-SI"/>
        </w:rPr>
        <w:t xml:space="preserve"> </w:t>
      </w:r>
      <w:proofErr w:type="spellStart"/>
      <w:r w:rsidRPr="00E32E02">
        <w:rPr>
          <w:rFonts w:ascii="Calibri" w:eastAsia="Calibri" w:hAnsi="Calibri" w:cs="Arial"/>
          <w:lang w:val="sl-SI"/>
        </w:rPr>
        <w:t>and</w:t>
      </w:r>
      <w:proofErr w:type="spellEnd"/>
      <w:r w:rsidRPr="00E32E02">
        <w:rPr>
          <w:rFonts w:ascii="Calibri" w:eastAsia="Calibri" w:hAnsi="Calibri" w:cs="Arial"/>
          <w:lang w:val="sl-SI"/>
        </w:rPr>
        <w:t xml:space="preserve"> it is </w:t>
      </w:r>
      <w:proofErr w:type="spellStart"/>
      <w:r w:rsidRPr="00E32E02">
        <w:rPr>
          <w:rFonts w:ascii="Calibri" w:eastAsia="Calibri" w:hAnsi="Calibri" w:cs="Arial"/>
          <w:lang w:val="sl-SI"/>
        </w:rPr>
        <w:t>important</w:t>
      </w:r>
      <w:proofErr w:type="spellEnd"/>
      <w:r w:rsidRPr="00E32E02">
        <w:rPr>
          <w:rFonts w:ascii="Calibri" w:eastAsia="Calibri" w:hAnsi="Calibri" w:cs="Arial"/>
          <w:lang w:val="sl-SI"/>
        </w:rPr>
        <w:t xml:space="preserve"> to </w:t>
      </w:r>
      <w:proofErr w:type="spellStart"/>
      <w:r w:rsidRPr="00E32E02">
        <w:rPr>
          <w:rFonts w:ascii="Calibri" w:eastAsia="Calibri" w:hAnsi="Calibri" w:cs="Arial"/>
          <w:lang w:val="sl-SI"/>
        </w:rPr>
        <w:t>know</w:t>
      </w:r>
      <w:proofErr w:type="spellEnd"/>
      <w:r w:rsidRPr="00E32E02">
        <w:rPr>
          <w:rFonts w:ascii="Calibri" w:eastAsia="Calibri" w:hAnsi="Calibri" w:cs="Arial"/>
          <w:lang w:val="sl-SI"/>
        </w:rPr>
        <w:t xml:space="preserve"> </w:t>
      </w:r>
      <w:proofErr w:type="spellStart"/>
      <w:r w:rsidRPr="00E32E02">
        <w:rPr>
          <w:rFonts w:ascii="Calibri" w:eastAsia="Calibri" w:hAnsi="Calibri" w:cs="Arial"/>
          <w:lang w:val="sl-SI"/>
        </w:rPr>
        <w:t>how</w:t>
      </w:r>
      <w:proofErr w:type="spellEnd"/>
      <w:r w:rsidRPr="00E32E02">
        <w:rPr>
          <w:rFonts w:ascii="Calibri" w:eastAsia="Calibri" w:hAnsi="Calibri" w:cs="Arial"/>
          <w:lang w:val="sl-SI"/>
        </w:rPr>
        <w:t xml:space="preserve"> to do it. Ta vaja spodbuja udeležence, da so pozorni med pogovorom. </w:t>
      </w:r>
    </w:p>
    <w:p w:rsidR="00E32E02" w:rsidRPr="00E32E02" w:rsidRDefault="00E32E02" w:rsidP="00E32E02">
      <w:pPr>
        <w:keepNext/>
        <w:keepLines/>
        <w:spacing w:before="480" w:after="0"/>
        <w:outlineLvl w:val="0"/>
        <w:rPr>
          <w:rFonts w:ascii="Cambria" w:eastAsia="Times New Roman" w:hAnsi="Cambria" w:cs="Times New Roman"/>
          <w:b/>
          <w:bCs/>
          <w:color w:val="17365D"/>
          <w:sz w:val="28"/>
          <w:szCs w:val="28"/>
          <w:lang w:val="sl-SI"/>
        </w:rPr>
      </w:pPr>
      <w:r w:rsidRPr="00E32E02">
        <w:rPr>
          <w:rFonts w:ascii="Cambria" w:eastAsia="Times New Roman" w:hAnsi="Cambria" w:cs="Times New Roman"/>
          <w:b/>
          <w:bCs/>
          <w:color w:val="17365D"/>
          <w:sz w:val="28"/>
          <w:szCs w:val="28"/>
          <w:lang w:val="sl-SI"/>
        </w:rPr>
        <w:t>Opis:</w:t>
      </w:r>
    </w:p>
    <w:p w:rsidR="00E32E02" w:rsidRPr="00E32E02" w:rsidRDefault="00E32E02" w:rsidP="00E32E02">
      <w:pPr>
        <w:rPr>
          <w:rFonts w:ascii="Calibri" w:eastAsia="Calibri" w:hAnsi="Calibri" w:cs="Arial"/>
          <w:lang w:val="sl-SI"/>
        </w:rPr>
      </w:pPr>
      <w:r w:rsidRPr="00E32E02">
        <w:rPr>
          <w:rFonts w:ascii="Calibri" w:eastAsia="Calibri" w:hAnsi="Calibri" w:cs="Arial"/>
          <w:lang w:val="sl-SI"/>
        </w:rPr>
        <w:t xml:space="preserve">Izberite temo za pogovor. Na primer, lahko opišete prednosti izdelka ali storitve kot tema te vaje. </w:t>
      </w:r>
    </w:p>
    <w:p w:rsidR="00E32E02" w:rsidRPr="00E32E02" w:rsidRDefault="00E32E02" w:rsidP="00E32E02">
      <w:pPr>
        <w:rPr>
          <w:rFonts w:ascii="Calibri" w:eastAsia="Calibri" w:hAnsi="Calibri" w:cs="Arial"/>
          <w:lang w:val="sl-SI"/>
        </w:rPr>
      </w:pPr>
      <w:r w:rsidRPr="00E32E02">
        <w:rPr>
          <w:rFonts w:ascii="Calibri" w:eastAsia="Calibri" w:hAnsi="Calibri" w:cs="Arial"/>
          <w:lang w:val="sl-SI"/>
        </w:rPr>
        <w:t xml:space="preserve">Udeleženci naj ustvarijo krog, da bodo lažje poslušali drug drugega med vajo. </w:t>
      </w:r>
    </w:p>
    <w:p w:rsidR="00E32E02" w:rsidRPr="00E32E02" w:rsidRDefault="00E32E02" w:rsidP="00E32E02">
      <w:pPr>
        <w:rPr>
          <w:rFonts w:ascii="Calibri" w:eastAsia="Calibri" w:hAnsi="Calibri" w:cs="Arial"/>
          <w:lang w:val="sl-SI"/>
        </w:rPr>
      </w:pPr>
      <w:r w:rsidRPr="00E32E02">
        <w:rPr>
          <w:rFonts w:ascii="Calibri" w:eastAsia="Calibri" w:hAnsi="Calibri" w:cs="Arial"/>
          <w:lang w:val="sl-SI"/>
        </w:rPr>
        <w:t xml:space="preserve">Razložite, da boste izbrali eno osebo, ki bo začela govoriti o temi. </w:t>
      </w:r>
    </w:p>
    <w:p w:rsidR="00E32E02" w:rsidRPr="00E32E02" w:rsidRDefault="00E32E02" w:rsidP="00E32E02">
      <w:pPr>
        <w:rPr>
          <w:rFonts w:ascii="Calibri" w:eastAsia="Calibri" w:hAnsi="Calibri" w:cs="Arial"/>
          <w:lang w:val="sl-SI"/>
        </w:rPr>
      </w:pPr>
      <w:r w:rsidRPr="00E32E02">
        <w:rPr>
          <w:rFonts w:ascii="Calibri" w:eastAsia="Calibri" w:hAnsi="Calibri" w:cs="Arial"/>
          <w:lang w:val="sl-SI"/>
        </w:rPr>
        <w:t xml:space="preserve">Medtem ko prva oseba govori, lahko nenadoma zakličite ‘menjava’. Na tej točki, oseba, ki je govorila mora prenehati.. Zdaj pokažite na drugo osebo, ki mora nadaljevati pogovor točno tam, kjer je prejšnja oseba nehala govoriti. Na primer, če je bil stavek nedokončan, ga mora naslednja oseba dokončati in nadaljevati pogovor o temi. </w:t>
      </w:r>
    </w:p>
    <w:p w:rsidR="00E32E02" w:rsidRPr="00E32E02" w:rsidRDefault="00E32E02" w:rsidP="00E32E02">
      <w:pPr>
        <w:rPr>
          <w:rFonts w:ascii="Calibri" w:eastAsia="Calibri" w:hAnsi="Calibri" w:cs="Arial"/>
          <w:lang w:val="sl-SI"/>
        </w:rPr>
      </w:pPr>
      <w:r w:rsidRPr="00E32E02">
        <w:rPr>
          <w:rFonts w:ascii="Calibri" w:eastAsia="Calibri" w:hAnsi="Calibri" w:cs="Arial"/>
          <w:lang w:val="sl-SI"/>
        </w:rPr>
        <w:t xml:space="preserve">Nadaljujte s klicanjem ‘ menjava’ naključno v presledkih in v vsakem primeru naslednja oseba nadaljuje pogovor. To prisili udeležence, da so osredotočeni in pripravljeni, ko bodo na vrsti. Ko ste končali en krog, prekinite vajo in povprašajte udeležence kaj si mislijo o njej. </w:t>
      </w:r>
    </w:p>
    <w:p w:rsidR="00E32E02" w:rsidRPr="00E32E02" w:rsidRDefault="00E32E02" w:rsidP="00E32E02">
      <w:pPr>
        <w:rPr>
          <w:rFonts w:ascii="Calibri" w:eastAsia="Calibri" w:hAnsi="Calibri" w:cs="Arial"/>
          <w:lang w:val="sl-SI"/>
        </w:rPr>
      </w:pPr>
      <w:r w:rsidRPr="00E32E02">
        <w:rPr>
          <w:rFonts w:ascii="Calibri" w:eastAsia="Calibri" w:hAnsi="Calibri" w:cs="Arial"/>
          <w:lang w:val="sl-SI"/>
        </w:rPr>
        <w:t xml:space="preserve">Bodite pozorni na to koga ste poklicali in koga niste, tako ima vsak možnost sodelovati. </w:t>
      </w:r>
    </w:p>
    <w:p w:rsidR="00E32E02" w:rsidRPr="00E32E02" w:rsidRDefault="00E32E02" w:rsidP="00E32E02">
      <w:pPr>
        <w:keepNext/>
        <w:keepLines/>
        <w:spacing w:before="480" w:after="0"/>
        <w:outlineLvl w:val="0"/>
        <w:rPr>
          <w:rFonts w:ascii="Cambria" w:eastAsia="Times New Roman" w:hAnsi="Cambria" w:cs="Times New Roman"/>
          <w:b/>
          <w:bCs/>
          <w:color w:val="17365D"/>
          <w:sz w:val="28"/>
          <w:szCs w:val="28"/>
          <w:lang w:val="sl-SI"/>
        </w:rPr>
      </w:pPr>
      <w:r w:rsidRPr="00E32E02">
        <w:rPr>
          <w:rFonts w:ascii="Cambria" w:eastAsia="Times New Roman" w:hAnsi="Cambria" w:cs="Times New Roman"/>
          <w:b/>
          <w:bCs/>
          <w:color w:val="17365D"/>
          <w:sz w:val="28"/>
          <w:szCs w:val="28"/>
          <w:lang w:val="sl-SI"/>
        </w:rPr>
        <w:t>Metode:</w:t>
      </w:r>
    </w:p>
    <w:p w:rsidR="00E32E02" w:rsidRPr="00E32E02" w:rsidRDefault="00E32E02" w:rsidP="00E32E02">
      <w:pPr>
        <w:rPr>
          <w:rFonts w:ascii="Calibri" w:eastAsia="Calibri" w:hAnsi="Calibri" w:cs="Arial"/>
          <w:lang w:val="sl-SI"/>
        </w:rPr>
      </w:pPr>
      <w:r w:rsidRPr="00E32E02">
        <w:rPr>
          <w:rFonts w:ascii="Calibri" w:eastAsia="Calibri" w:hAnsi="Calibri" w:cs="Arial"/>
          <w:lang w:val="sl-SI"/>
        </w:rPr>
        <w:t>Izkušenjsko učenje, ogrevanje</w:t>
      </w:r>
    </w:p>
    <w:p w:rsidR="00E32E02" w:rsidRPr="00E32E02" w:rsidRDefault="00E32E02" w:rsidP="00E32E02">
      <w:pPr>
        <w:keepNext/>
        <w:keepLines/>
        <w:spacing w:before="480" w:after="0"/>
        <w:outlineLvl w:val="0"/>
        <w:rPr>
          <w:rFonts w:ascii="Cambria" w:eastAsia="Times New Roman" w:hAnsi="Cambria" w:cs="Times New Roman"/>
          <w:b/>
          <w:bCs/>
          <w:color w:val="17365D"/>
          <w:sz w:val="28"/>
          <w:szCs w:val="28"/>
          <w:lang w:val="sl-SI"/>
        </w:rPr>
      </w:pPr>
      <w:r w:rsidRPr="00E32E02">
        <w:rPr>
          <w:rFonts w:ascii="Cambria" w:eastAsia="Times New Roman" w:hAnsi="Cambria" w:cs="Times New Roman"/>
          <w:b/>
          <w:bCs/>
          <w:color w:val="17365D"/>
          <w:sz w:val="28"/>
          <w:szCs w:val="28"/>
          <w:lang w:val="sl-SI"/>
        </w:rPr>
        <w:t>Nasvet za trenerje:</w:t>
      </w:r>
    </w:p>
    <w:p w:rsidR="00E32E02" w:rsidRPr="00E32E02" w:rsidRDefault="00E32E02" w:rsidP="00E32E02">
      <w:pPr>
        <w:rPr>
          <w:rFonts w:ascii="Calibri" w:eastAsia="Calibri" w:hAnsi="Calibri" w:cs="Arial"/>
          <w:lang w:val="sl-SI"/>
        </w:rPr>
      </w:pPr>
      <w:r w:rsidRPr="00E32E02">
        <w:rPr>
          <w:rFonts w:ascii="Calibri" w:eastAsia="Calibri" w:hAnsi="Calibri" w:cs="Arial"/>
          <w:lang w:val="sl-SI"/>
        </w:rPr>
        <w:t>Diskusija/razprava</w:t>
      </w:r>
    </w:p>
    <w:p w:rsidR="00E32E02" w:rsidRPr="00E32E02" w:rsidRDefault="00E32E02" w:rsidP="00E32E02">
      <w:pPr>
        <w:rPr>
          <w:rFonts w:ascii="Calibri" w:eastAsia="Calibri" w:hAnsi="Calibri" w:cs="Arial"/>
          <w:lang w:val="sl-SI"/>
        </w:rPr>
      </w:pPr>
      <w:r w:rsidRPr="00E32E02">
        <w:rPr>
          <w:rFonts w:ascii="Calibri" w:eastAsia="Calibri" w:hAnsi="Calibri" w:cs="Arial"/>
          <w:lang w:val="sl-SI"/>
        </w:rPr>
        <w:lastRenderedPageBreak/>
        <w:t xml:space="preserve">Kako težka je bila vaja? Je pozorno poslušanje pomagalo narediti pogovor bolj osredotočen in uporaben? Je pomagalo osebam prispevati več, ker so vsi morali biti osredotočeni? Kako lahko uporabite to tehniko v službi/pri delu, da povečate storilnost sestankov in pri </w:t>
      </w:r>
      <w:proofErr w:type="spellStart"/>
      <w:r w:rsidRPr="00E32E02">
        <w:rPr>
          <w:rFonts w:ascii="Calibri" w:eastAsia="Calibri" w:hAnsi="Calibri" w:cs="Arial"/>
          <w:lang w:val="sl-SI"/>
        </w:rPr>
        <w:t>brainstormingu</w:t>
      </w:r>
      <w:proofErr w:type="spellEnd"/>
      <w:r w:rsidRPr="00E32E02">
        <w:rPr>
          <w:rFonts w:ascii="Calibri" w:eastAsia="Calibri" w:hAnsi="Calibri" w:cs="Arial"/>
          <w:lang w:val="sl-SI"/>
        </w:rPr>
        <w:t xml:space="preserve">? </w:t>
      </w:r>
    </w:p>
    <w:p w:rsidR="00E32E02" w:rsidRPr="00E32E02" w:rsidRDefault="00E32E02" w:rsidP="00E32E02">
      <w:pPr>
        <w:keepNext/>
        <w:keepLines/>
        <w:spacing w:before="480" w:after="0"/>
        <w:outlineLvl w:val="0"/>
        <w:rPr>
          <w:rFonts w:ascii="Cambria" w:eastAsia="Times New Roman" w:hAnsi="Cambria" w:cs="Times New Roman"/>
          <w:b/>
          <w:bCs/>
          <w:color w:val="17365D"/>
          <w:sz w:val="28"/>
          <w:szCs w:val="28"/>
          <w:lang w:val="sl-SI"/>
        </w:rPr>
      </w:pPr>
      <w:r w:rsidRPr="00E32E02">
        <w:rPr>
          <w:rFonts w:ascii="Cambria" w:eastAsia="Times New Roman" w:hAnsi="Cambria" w:cs="Times New Roman"/>
          <w:b/>
          <w:bCs/>
          <w:color w:val="17365D"/>
          <w:sz w:val="28"/>
          <w:szCs w:val="28"/>
          <w:lang w:val="sl-SI"/>
        </w:rPr>
        <w:t>Vir/Literatura:</w:t>
      </w:r>
    </w:p>
    <w:p w:rsidR="00E32E02" w:rsidRPr="00E32E02" w:rsidRDefault="00E32E02" w:rsidP="00E32E02">
      <w:pPr>
        <w:rPr>
          <w:rFonts w:ascii="Calibri" w:eastAsia="Calibri" w:hAnsi="Calibri" w:cs="Arial"/>
          <w:lang w:val="sl-SI"/>
        </w:rPr>
      </w:pPr>
      <w:r w:rsidRPr="00E32E02">
        <w:rPr>
          <w:rFonts w:ascii="Calibri" w:eastAsia="Calibri" w:hAnsi="Calibri" w:cs="Arial"/>
          <w:lang w:val="sl-SI"/>
        </w:rPr>
        <w:t xml:space="preserve">Prilagojeno in spremenjeno iz </w:t>
      </w:r>
      <w:proofErr w:type="spellStart"/>
      <w:r w:rsidRPr="00E32E02">
        <w:rPr>
          <w:rFonts w:ascii="Calibri" w:eastAsia="Calibri" w:hAnsi="Calibri" w:cs="Arial"/>
          <w:lang w:val="sl-SI"/>
        </w:rPr>
        <w:t>Skillsconverged</w:t>
      </w:r>
      <w:proofErr w:type="spellEnd"/>
    </w:p>
    <w:p w:rsidR="00E32E02" w:rsidRPr="00E32E02" w:rsidRDefault="00002BF4" w:rsidP="00E32E02">
      <w:pPr>
        <w:rPr>
          <w:rFonts w:ascii="Calibri" w:eastAsia="Calibri" w:hAnsi="Calibri" w:cs="Arial"/>
          <w:lang w:val="sl-SI"/>
        </w:rPr>
      </w:pPr>
      <w:hyperlink r:id="rId9" w:history="1">
        <w:r w:rsidR="00E32E02" w:rsidRPr="00E32E02">
          <w:rPr>
            <w:rFonts w:ascii="Calibri" w:eastAsia="Calibri" w:hAnsi="Calibri" w:cs="Arial"/>
            <w:color w:val="0000FF"/>
            <w:u w:val="single"/>
            <w:lang w:val="sl-SI"/>
          </w:rPr>
          <w:t>http://www.skillsconverged.com/FreeTrainingMaterials/FreeDownloads.aspx</w:t>
        </w:r>
      </w:hyperlink>
    </w:p>
    <w:p w:rsidR="00E32E02" w:rsidRPr="00E32E02" w:rsidRDefault="00E32E02" w:rsidP="00E32E02">
      <w:pPr>
        <w:rPr>
          <w:rFonts w:ascii="Calibri" w:eastAsia="Calibri" w:hAnsi="Calibri" w:cs="Arial"/>
          <w:lang w:val="sl-SI"/>
        </w:rPr>
      </w:pPr>
    </w:p>
    <w:p w:rsidR="00C30713" w:rsidRPr="00E32E02" w:rsidRDefault="00C30713" w:rsidP="00E32E02">
      <w:pPr>
        <w:rPr>
          <w:lang w:val="sl-SI"/>
        </w:rPr>
      </w:pPr>
    </w:p>
    <w:sectPr w:rsidR="00C30713" w:rsidRPr="00E32E02" w:rsidSect="007A5362">
      <w:headerReference w:type="default" r:id="rId10"/>
      <w:footerReference w:type="default" r:id="rId11"/>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F4" w:rsidRDefault="00002BF4" w:rsidP="000D1CD3">
      <w:pPr>
        <w:spacing w:after="0" w:line="240" w:lineRule="auto"/>
      </w:pPr>
      <w:r>
        <w:separator/>
      </w:r>
    </w:p>
  </w:endnote>
  <w:endnote w:type="continuationSeparator" w:id="0">
    <w:p w:rsidR="00002BF4" w:rsidRDefault="00002BF4"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F4" w:rsidRDefault="00002BF4" w:rsidP="000D1CD3">
      <w:pPr>
        <w:spacing w:after="0" w:line="240" w:lineRule="auto"/>
      </w:pPr>
      <w:r>
        <w:separator/>
      </w:r>
    </w:p>
  </w:footnote>
  <w:footnote w:type="continuationSeparator" w:id="0">
    <w:p w:rsidR="00002BF4" w:rsidRDefault="00002BF4"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02BF4"/>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1D0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2E02"/>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77013"/>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killsconverged.com/FreeTrainingMaterials/FreeDownloads.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20E1B-6CA0-4D7B-AEEF-933DF2EE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1773</Characters>
  <Application>Microsoft Office Word</Application>
  <DocSecurity>0</DocSecurity>
  <Lines>14</Lines>
  <Paragraphs>4</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3</cp:revision>
  <dcterms:created xsi:type="dcterms:W3CDTF">2014-12-29T17:31:00Z</dcterms:created>
  <dcterms:modified xsi:type="dcterms:W3CDTF">2014-12-30T16:58:00Z</dcterms:modified>
</cp:coreProperties>
</file>