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80051B">
        <w:rPr>
          <w:sz w:val="44"/>
        </w:rPr>
        <w:t>Feel the difference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527059">
        <w:rPr>
          <w:sz w:val="24"/>
        </w:rPr>
        <w:t>SLQUALED008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EC7AC0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FA6240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Default="00271FF4" w:rsidP="00CA3759">
      <w:pPr>
        <w:pStyle w:val="Naslov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80051B" w:rsidRDefault="00491A7E" w:rsidP="0080051B">
      <w:r>
        <w:t>To understand differen</w:t>
      </w:r>
      <w:r w:rsidR="0080051B">
        <w:t xml:space="preserve">ces in body language; </w:t>
      </w:r>
      <w:r>
        <w:t xml:space="preserve">to </w:t>
      </w:r>
      <w:r w:rsidR="0080051B">
        <w:t xml:space="preserve">realize male and female </w:t>
      </w:r>
      <w:r>
        <w:t>approaches</w:t>
      </w:r>
      <w:r w:rsidR="0080051B">
        <w:t xml:space="preserve"> and rec</w:t>
      </w:r>
      <w:r>
        <w:t>ognize their origin in one’s life</w:t>
      </w:r>
      <w:r w:rsidR="0080051B">
        <w:t>’</w:t>
      </w:r>
      <w:r>
        <w:t>s history</w:t>
      </w:r>
      <w:r w:rsidR="0080051B">
        <w:t>. Good exercise to make differences visible through body language. Participants get a chance to “feel” the difference.</w:t>
      </w:r>
    </w:p>
    <w:p w:rsidR="0080051B" w:rsidRDefault="0080051B" w:rsidP="0080051B"/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80051B" w:rsidRDefault="00491A7E" w:rsidP="0080051B">
      <w:r>
        <w:t>Participants i</w:t>
      </w:r>
      <w:r w:rsidR="0080051B">
        <w:t>magine a line that separates the room into two areas, the f</w:t>
      </w:r>
      <w:r>
        <w:t>emale area and the male area.</w:t>
      </w:r>
    </w:p>
    <w:p w:rsidR="0080051B" w:rsidRDefault="0080051B" w:rsidP="0080051B">
      <w:r>
        <w:t xml:space="preserve">Everybody moves into the male area first and presents with movements, body posture, mimic and gestures </w:t>
      </w:r>
      <w:r w:rsidR="00491A7E">
        <w:t xml:space="preserve">to </w:t>
      </w:r>
      <w:r>
        <w:t xml:space="preserve">feel as a man. “I am …. I’ve got …. I do …. “ </w:t>
      </w:r>
    </w:p>
    <w:p w:rsidR="0080051B" w:rsidRDefault="0080051B" w:rsidP="0080051B">
      <w:r>
        <w:t>Everybody now changes over to the female area and present with movements, body posture, mimic and gestures</w:t>
      </w:r>
      <w:r w:rsidR="00491A7E">
        <w:t xml:space="preserve"> to</w:t>
      </w:r>
      <w:r>
        <w:t xml:space="preserve"> feel as a woman. “I am …. I’ve got …. I do …. “ </w:t>
      </w:r>
    </w:p>
    <w:p w:rsidR="00491A7E" w:rsidRDefault="0080051B" w:rsidP="0080051B">
      <w:r>
        <w:t xml:space="preserve">Now </w:t>
      </w:r>
      <w:r w:rsidR="00491A7E">
        <w:t xml:space="preserve">participants </w:t>
      </w:r>
      <w:r>
        <w:t>move back and forth between the male and the female area and try to feel which body postures, movements, whi</w:t>
      </w:r>
      <w:r w:rsidR="00491A7E">
        <w:t>ch gestures and mimic suit them.</w:t>
      </w:r>
    </w:p>
    <w:p w:rsidR="0080051B" w:rsidRDefault="00491A7E" w:rsidP="0080051B">
      <w:r>
        <w:t>R</w:t>
      </w:r>
      <w:r w:rsidR="0080051B">
        <w:t xml:space="preserve">eflection on the following questions: 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>How did I do in the two areas?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 xml:space="preserve">Which memories have come up? 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 xml:space="preserve">What did I find easy, what more difficult? 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 xml:space="preserve">Where do I know the </w:t>
      </w:r>
      <w:proofErr w:type="spellStart"/>
      <w:r>
        <w:t>behaviors</w:t>
      </w:r>
      <w:proofErr w:type="spellEnd"/>
      <w:r>
        <w:t xml:space="preserve"> from? 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 xml:space="preserve">Do I recognize them out of my own life history? 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 xml:space="preserve">Of myself? Of other persons in my environment? 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t>How do I behave in which situations?</w:t>
      </w:r>
    </w:p>
    <w:p w:rsidR="0080051B" w:rsidRDefault="0080051B" w:rsidP="00491A7E">
      <w:pPr>
        <w:pStyle w:val="Odstavekseznama"/>
        <w:numPr>
          <w:ilvl w:val="0"/>
          <w:numId w:val="22"/>
        </w:numPr>
      </w:pPr>
      <w:r>
        <w:lastRenderedPageBreak/>
        <w:t>Which clichés of male and female do I have in myself?</w:t>
      </w:r>
    </w:p>
    <w:p w:rsidR="00491A7E" w:rsidRDefault="0080051B" w:rsidP="0080051B">
      <w:pPr>
        <w:pStyle w:val="Odstavekseznama"/>
        <w:numPr>
          <w:ilvl w:val="0"/>
          <w:numId w:val="22"/>
        </w:numPr>
      </w:pPr>
      <w:r>
        <w:t xml:space="preserve">Which sayings, phrases, </w:t>
      </w:r>
      <w:r w:rsidR="00491A7E">
        <w:t>directions come to my mind?</w:t>
      </w:r>
    </w:p>
    <w:p w:rsidR="0080051B" w:rsidRDefault="0080051B" w:rsidP="0080051B">
      <w:pPr>
        <w:pStyle w:val="Odstavekseznama"/>
        <w:numPr>
          <w:ilvl w:val="0"/>
          <w:numId w:val="22"/>
        </w:numPr>
      </w:pPr>
      <w:r>
        <w:t xml:space="preserve">What have I noticed about others?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80051B" w:rsidRPr="00CA3759" w:rsidRDefault="00491A7E" w:rsidP="00CA3759">
      <w:r>
        <w:t>E</w:t>
      </w:r>
      <w:r w:rsidR="0080051B">
        <w:t>nough free space to part the room into two areas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CB3A7C" w:rsidP="000115B0">
      <w:proofErr w:type="spellStart"/>
      <w:r>
        <w:t>Experiental</w:t>
      </w:r>
      <w:proofErr w:type="spellEnd"/>
      <w:r>
        <w:t xml:space="preserve"> learning </w:t>
      </w:r>
      <w:r w:rsidR="004D57AA">
        <w:t xml:space="preserve">, self-reflection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80051B" w:rsidRDefault="0080051B" w:rsidP="0080051B">
      <w:r>
        <w:t>Option</w:t>
      </w:r>
      <w:r w:rsidR="00491A7E">
        <w:t>al, the following action can be inserted: L</w:t>
      </w:r>
      <w:r>
        <w:t>et partici</w:t>
      </w:r>
      <w:r w:rsidR="00491A7E">
        <w:t>pants find a place in the room, and ask the following questions:</w:t>
      </w:r>
    </w:p>
    <w:p w:rsidR="0080051B" w:rsidRDefault="0080051B" w:rsidP="00491A7E">
      <w:pPr>
        <w:pStyle w:val="Odstavekseznama"/>
        <w:numPr>
          <w:ilvl w:val="0"/>
          <w:numId w:val="23"/>
        </w:numPr>
      </w:pPr>
      <w:r>
        <w:t xml:space="preserve">Where is your “correct” place – at this moment? </w:t>
      </w:r>
    </w:p>
    <w:p w:rsidR="0080051B" w:rsidRDefault="0080051B" w:rsidP="00491A7E">
      <w:pPr>
        <w:pStyle w:val="Odstavekseznama"/>
        <w:numPr>
          <w:ilvl w:val="0"/>
          <w:numId w:val="23"/>
        </w:numPr>
      </w:pPr>
      <w:r>
        <w:t xml:space="preserve">In the female area? In the male area? </w:t>
      </w:r>
    </w:p>
    <w:p w:rsidR="0080051B" w:rsidRDefault="0080051B" w:rsidP="00491A7E">
      <w:pPr>
        <w:pStyle w:val="Odstavekseznama"/>
        <w:numPr>
          <w:ilvl w:val="0"/>
          <w:numId w:val="23"/>
        </w:numPr>
      </w:pPr>
      <w:r>
        <w:t xml:space="preserve">Close to the line? Far away from it? </w:t>
      </w:r>
    </w:p>
    <w:p w:rsidR="000115B0" w:rsidRPr="000115B0" w:rsidRDefault="000115B0" w:rsidP="000115B0"/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E21210" w:rsidRPr="000115B0" w:rsidRDefault="00E21210" w:rsidP="00E21210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0115B0" w:rsidRPr="000115B0" w:rsidRDefault="000115B0" w:rsidP="000115B0"/>
    <w:p w:rsidR="00BB1470" w:rsidRDefault="0064630B" w:rsidP="00C3071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5C" w:rsidRDefault="00C7265C" w:rsidP="000D1CD3">
      <w:pPr>
        <w:spacing w:after="0" w:line="240" w:lineRule="auto"/>
      </w:pPr>
      <w:r>
        <w:separator/>
      </w:r>
    </w:p>
  </w:endnote>
  <w:endnote w:type="continuationSeparator" w:id="0">
    <w:p w:rsidR="00C7265C" w:rsidRDefault="00C7265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5C" w:rsidRDefault="00C7265C" w:rsidP="000D1CD3">
      <w:pPr>
        <w:spacing w:after="0" w:line="240" w:lineRule="auto"/>
      </w:pPr>
      <w:r>
        <w:separator/>
      </w:r>
    </w:p>
  </w:footnote>
  <w:footnote w:type="continuationSeparator" w:id="0">
    <w:p w:rsidR="00C7265C" w:rsidRDefault="00C7265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2BB0"/>
    <w:multiLevelType w:val="hybridMultilevel"/>
    <w:tmpl w:val="67046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2082D"/>
    <w:multiLevelType w:val="hybridMultilevel"/>
    <w:tmpl w:val="AAFC0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D5C5E"/>
    <w:rsid w:val="000E5E3F"/>
    <w:rsid w:val="000F015D"/>
    <w:rsid w:val="000F4C25"/>
    <w:rsid w:val="00104A30"/>
    <w:rsid w:val="00104AC5"/>
    <w:rsid w:val="00116217"/>
    <w:rsid w:val="00144B36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77724"/>
    <w:rsid w:val="003E759A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91A7E"/>
    <w:rsid w:val="004A1BB1"/>
    <w:rsid w:val="004D189B"/>
    <w:rsid w:val="004D57AA"/>
    <w:rsid w:val="005015ED"/>
    <w:rsid w:val="0052705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91571"/>
    <w:rsid w:val="008B081A"/>
    <w:rsid w:val="008B3FF3"/>
    <w:rsid w:val="008B54B9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E6BB2"/>
    <w:rsid w:val="00BF1281"/>
    <w:rsid w:val="00C30713"/>
    <w:rsid w:val="00C63C35"/>
    <w:rsid w:val="00C70780"/>
    <w:rsid w:val="00C7265C"/>
    <w:rsid w:val="00CA3759"/>
    <w:rsid w:val="00CB3A7C"/>
    <w:rsid w:val="00CB3C0A"/>
    <w:rsid w:val="00CB5669"/>
    <w:rsid w:val="00CC060C"/>
    <w:rsid w:val="00CC24CA"/>
    <w:rsid w:val="00CE2C18"/>
    <w:rsid w:val="00D11D47"/>
    <w:rsid w:val="00D22DBC"/>
    <w:rsid w:val="00D922A5"/>
    <w:rsid w:val="00DA0B5C"/>
    <w:rsid w:val="00DB016A"/>
    <w:rsid w:val="00DE3606"/>
    <w:rsid w:val="00E06AB5"/>
    <w:rsid w:val="00E207CA"/>
    <w:rsid w:val="00E21210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84A2-B478-4D8B-BD75-1A23BD35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  <vt:variant>
        <vt:lpstr>Τίτλος</vt:lpstr>
      </vt:variant>
      <vt:variant>
        <vt:i4>1</vt:i4>
      </vt:variant>
    </vt:vector>
  </HeadingPairs>
  <TitlesOfParts>
    <vt:vector size="8" baseType="lpstr">
      <vt:lpstr/>
      <vt:lpstr>Description:</vt:lpstr>
      <vt:lpstr>Material:</vt:lpstr>
      <vt:lpstr>Methods:</vt:lpstr>
      <vt:lpstr>Advice for Trainer:</vt:lpstr>
      <vt:lpstr>Source/Literature:</vt:lpstr>
      <vt:lpstr>Handouts:</vt:lpstr>
      <vt:lpstr/>
    </vt:vector>
  </TitlesOfParts>
  <Company>TU Wien - Studentenversion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2014-12-13T14:19:00Z</dcterms:created>
  <dcterms:modified xsi:type="dcterms:W3CDTF">2014-12-13T14:19:00Z</dcterms:modified>
</cp:coreProperties>
</file>