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CA3759">
        <w:rPr>
          <w:sz w:val="44"/>
        </w:rPr>
        <w:t>Communicating feedback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CE7CB7">
        <w:rPr>
          <w:sz w:val="24"/>
        </w:rPr>
        <w:t>SLQUALED004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15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Default="00271FF4" w:rsidP="00CA3759">
      <w:pPr>
        <w:pStyle w:val="Naslov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CA3759" w:rsidRDefault="000B183B" w:rsidP="00CA3759">
      <w:r>
        <w:t xml:space="preserve">This exercise is suitable especially for inexperienced participants and helps them </w:t>
      </w:r>
      <w:r w:rsidR="00CA3759">
        <w:t xml:space="preserve">to feel safe speaking in front of </w:t>
      </w:r>
      <w:r>
        <w:t xml:space="preserve">a </w:t>
      </w:r>
      <w:r w:rsidR="00CA3759">
        <w:t xml:space="preserve">group </w:t>
      </w:r>
      <w:r>
        <w:t xml:space="preserve">when they </w:t>
      </w:r>
      <w:r w:rsidR="00CA3759">
        <w:t xml:space="preserve">hold something in </w:t>
      </w:r>
      <w:r>
        <w:t xml:space="preserve">their </w:t>
      </w:r>
      <w:r w:rsidR="00CA3759">
        <w:t>hands at the same time</w:t>
      </w:r>
      <w:r>
        <w:t>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CA3759" w:rsidRDefault="00CA3759" w:rsidP="00CA3759">
      <w:r>
        <w:t xml:space="preserve">A ball is thrown from one participant to next, each giving his/her statement about the </w:t>
      </w:r>
      <w:r w:rsidR="000B183B">
        <w:t xml:space="preserve">events </w:t>
      </w:r>
      <w:r>
        <w:t>of</w:t>
      </w:r>
      <w:r w:rsidR="000B183B">
        <w:t xml:space="preserve"> that</w:t>
      </w:r>
      <w:r>
        <w:t xml:space="preserve"> day.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CA3759" w:rsidRPr="00CA3759" w:rsidRDefault="00CA3759" w:rsidP="00CA3759">
      <w:r>
        <w:t>1 small soft ball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A36F99" w:rsidRPr="00A36F99" w:rsidRDefault="00A36F99" w:rsidP="00A36F99">
      <w:proofErr w:type="spellStart"/>
      <w:r>
        <w:t>Experiental</w:t>
      </w:r>
      <w:proofErr w:type="spellEnd"/>
      <w:r>
        <w:t xml:space="preserve"> learning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B183B" w:rsidRPr="000115B0" w:rsidRDefault="000B183B" w:rsidP="000B183B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6F" w:rsidRDefault="0002276F" w:rsidP="000D1CD3">
      <w:pPr>
        <w:spacing w:after="0" w:line="240" w:lineRule="auto"/>
      </w:pPr>
      <w:r>
        <w:separator/>
      </w:r>
    </w:p>
  </w:endnote>
  <w:endnote w:type="continuationSeparator" w:id="0">
    <w:p w:rsidR="0002276F" w:rsidRDefault="0002276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6F" w:rsidRDefault="0002276F" w:rsidP="000D1CD3">
      <w:pPr>
        <w:spacing w:after="0" w:line="240" w:lineRule="auto"/>
      </w:pPr>
      <w:r>
        <w:separator/>
      </w:r>
    </w:p>
  </w:footnote>
  <w:footnote w:type="continuationSeparator" w:id="0">
    <w:p w:rsidR="0002276F" w:rsidRDefault="0002276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2276F"/>
    <w:rsid w:val="000B0DF5"/>
    <w:rsid w:val="000B12D0"/>
    <w:rsid w:val="000B183B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6B8C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5F1AE9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9F19B1"/>
    <w:rsid w:val="00A249AA"/>
    <w:rsid w:val="00A36F99"/>
    <w:rsid w:val="00A432CA"/>
    <w:rsid w:val="00A74D35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1143"/>
    <w:rsid w:val="00CE2C18"/>
    <w:rsid w:val="00CE7CB7"/>
    <w:rsid w:val="00D11D47"/>
    <w:rsid w:val="00D22DBC"/>
    <w:rsid w:val="00D71335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06B6-16F9-4F42-8267-E726BF51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2014-12-13T14:18:00Z</dcterms:created>
  <dcterms:modified xsi:type="dcterms:W3CDTF">2014-12-13T14:18:00Z</dcterms:modified>
</cp:coreProperties>
</file>