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667274">
        <w:rPr>
          <w:sz w:val="44"/>
        </w:rPr>
        <w:t xml:space="preserve"> Memento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AC172A">
        <w:rPr>
          <w:sz w:val="24"/>
        </w:rPr>
        <w:t>SLINTEGRA012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667274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8E4FEA">
              <w:rPr>
                <w:color w:val="17365D" w:themeColor="text2" w:themeShade="BF"/>
              </w:rPr>
              <w:t>5</w:t>
            </w:r>
            <w:r>
              <w:rPr>
                <w:color w:val="17365D" w:themeColor="text2" w:themeShade="BF"/>
              </w:rPr>
              <w:t>-30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>To recall memory patterns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>To recognize problem structures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 xml:space="preserve">The meaning and use of senses in the process of changing these structures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667274" w:rsidRPr="00FD4EF2" w:rsidRDefault="00667274" w:rsidP="00667274">
      <w:pPr>
        <w:jc w:val="both"/>
      </w:pPr>
      <w:r>
        <w:t>Just as applies for</w:t>
      </w:r>
      <w:r w:rsidRPr="00FD4EF2">
        <w:t xml:space="preserve"> experience, problems also have their own structure. (Nothing that happens is a problem on its own). Every problem as such</w:t>
      </w:r>
      <w:r>
        <w:t>,</w:t>
      </w:r>
      <w:r w:rsidRPr="00FD4EF2">
        <w:t xml:space="preserve"> arises due to the interpretation of an event following our own model of the world, our own inner mental map. </w:t>
      </w:r>
    </w:p>
    <w:p w:rsidR="00667274" w:rsidRPr="00FD4EF2" w:rsidRDefault="00667274" w:rsidP="00667274">
      <w:pPr>
        <w:jc w:val="both"/>
      </w:pPr>
      <w:r w:rsidRPr="00FD4EF2">
        <w:t xml:space="preserve">Through this exercise the students/participants will realize that every experience has its own </w:t>
      </w:r>
      <w:r w:rsidRPr="00275F58">
        <w:t>sensory perceptions (sight, hearing</w:t>
      </w:r>
      <w:r w:rsidRPr="00FD4EF2">
        <w:t>, smell, touch) and that it can completely change if one</w:t>
      </w:r>
      <w:r>
        <w:t xml:space="preserve"> of</w:t>
      </w:r>
      <w:r w:rsidRPr="00FD4EF2">
        <w:t xml:space="preserve"> th</w:t>
      </w:r>
      <w:r>
        <w:t>ese</w:t>
      </w:r>
      <w:r w:rsidRPr="00FD4EF2">
        <w:t xml:space="preserve"> elements changes. </w:t>
      </w:r>
    </w:p>
    <w:p w:rsidR="00667274" w:rsidRPr="00FD4EF2" w:rsidRDefault="00667274" w:rsidP="00667274">
      <w:pPr>
        <w:rPr>
          <w:b/>
        </w:rPr>
      </w:pPr>
      <w:r w:rsidRPr="00FD4EF2">
        <w:rPr>
          <w:b/>
        </w:rPr>
        <w:t xml:space="preserve">In implementing the exercise the trainer/teacher strictly follows the steps below:  </w:t>
      </w:r>
    </w:p>
    <w:p w:rsidR="00667274" w:rsidRPr="00FD4EF2" w:rsidRDefault="00667274" w:rsidP="00667274">
      <w:pPr>
        <w:jc w:val="both"/>
      </w:pPr>
      <w:r w:rsidRPr="00FD4EF2">
        <w:rPr>
          <w:b/>
        </w:rPr>
        <w:t>Step 1:</w:t>
      </w:r>
      <w:r>
        <w:t xml:space="preserve"> Imagine </w:t>
      </w:r>
      <w:r w:rsidRPr="00FD4EF2">
        <w:t>an unpleasant situation that happened to you in the past. Now</w:t>
      </w:r>
      <w:r>
        <w:t>, transform the situation into a film</w:t>
      </w:r>
      <w:r w:rsidRPr="00FD4EF2">
        <w:t xml:space="preserve"> and imagine it to the greatest detail possible. What do you see? What do you hear, feel? Watch this inner film carefully and pay attention to what feelings does it </w:t>
      </w:r>
      <w:r>
        <w:t>arouse</w:t>
      </w:r>
      <w:r w:rsidRPr="00FD4EF2">
        <w:t xml:space="preserve"> in you. </w:t>
      </w:r>
    </w:p>
    <w:p w:rsidR="00667274" w:rsidRPr="00FD4EF2" w:rsidRDefault="00667274" w:rsidP="00667274">
      <w:pPr>
        <w:jc w:val="both"/>
      </w:pPr>
      <w:r w:rsidRPr="00FD4EF2">
        <w:rPr>
          <w:b/>
        </w:rPr>
        <w:t>Step 2:</w:t>
      </w:r>
      <w:r w:rsidRPr="00FD4EF2">
        <w:t xml:space="preserve"> Then choose </w:t>
      </w:r>
      <w:r>
        <w:t xml:space="preserve">a type of </w:t>
      </w:r>
      <w:r w:rsidRPr="00FD4EF2">
        <w:t>music which should be the complete opposite of the negative feelings conveyed by the film, e.g. circus music, a soundtrack from a cartoon or dance music. Now</w:t>
      </w:r>
      <w:r>
        <w:t>,</w:t>
      </w:r>
      <w:r w:rsidRPr="00FD4EF2">
        <w:t xml:space="preserve"> replay the movie featuring a negative situation while listening to the music you have opted for. </w:t>
      </w:r>
      <w:r w:rsidRPr="00E86235">
        <w:t xml:space="preserve">Repeat the procedure of watching the movie </w:t>
      </w:r>
      <w:r>
        <w:t xml:space="preserve">with </w:t>
      </w:r>
      <w:r w:rsidRPr="00E86235">
        <w:t>“inappropriate” music</w:t>
      </w:r>
      <w:r>
        <w:t xml:space="preserve"> in the background</w:t>
      </w:r>
      <w:r w:rsidRPr="00E86235">
        <w:t xml:space="preserve"> a few times.</w:t>
      </w:r>
    </w:p>
    <w:p w:rsidR="00667274" w:rsidRPr="00FD4EF2" w:rsidRDefault="00667274" w:rsidP="00667274">
      <w:pPr>
        <w:jc w:val="both"/>
      </w:pPr>
      <w:r w:rsidRPr="00FD4EF2">
        <w:rPr>
          <w:b/>
        </w:rPr>
        <w:t>Step 3</w:t>
      </w:r>
      <w:r w:rsidRPr="00FD4EF2">
        <w:t>: Replay the movie in your mind again, however, this time you should do it without music and pay attent</w:t>
      </w:r>
      <w:r>
        <w:t>i</w:t>
      </w:r>
      <w:r w:rsidRPr="00FD4EF2">
        <w:t xml:space="preserve">on to your feelings. </w:t>
      </w:r>
    </w:p>
    <w:p w:rsidR="00667274" w:rsidRPr="00FD4EF2" w:rsidRDefault="00667274" w:rsidP="00667274">
      <w:r w:rsidRPr="00FD4EF2">
        <w:rPr>
          <w:b/>
        </w:rPr>
        <w:t xml:space="preserve">Step 4: </w:t>
      </w:r>
      <w:r w:rsidRPr="00FD4EF2">
        <w:t xml:space="preserve">The trainer/teacher initiates and guides the discussion by asking questions such as: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>How does a change of music influence the given situation?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lastRenderedPageBreak/>
        <w:t xml:space="preserve">Have you ever thought about that sensory perceptions and feelings make part of our experience?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 xml:space="preserve">How can I use this exercise to transform negative experience also in the future?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 xml:space="preserve">How can I use the technique I have learned in enhancing positive experience?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 xml:space="preserve">How do I feel in general after the exercise?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>How can I use this technique in achieving inner satisfaction?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sz w:val="24"/>
          <w:szCs w:val="24"/>
        </w:rPr>
      </w:pPr>
      <w:r w:rsidRPr="00667274">
        <w:rPr>
          <w:sz w:val="24"/>
          <w:szCs w:val="24"/>
        </w:rPr>
        <w:t xml:space="preserve">What might be the pitfalls? (e.g. avoiding all negative experience)   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667274">
        <w:rPr>
          <w:color w:val="17365D" w:themeColor="text2" w:themeShade="BF"/>
        </w:rPr>
        <w:t xml:space="preserve"> /</w:t>
      </w:r>
    </w:p>
    <w:p w:rsidR="000115B0" w:rsidRPr="000115B0" w:rsidRDefault="00667274" w:rsidP="000115B0">
      <w:r>
        <w:t xml:space="preserve">Alternative: piece of music (circus, celebration, etc.) – positive and uplifting 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667274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667274" w:rsidRDefault="00667274" w:rsidP="00667274">
      <w:pPr>
        <w:rPr>
          <w:bCs/>
        </w:rPr>
      </w:pPr>
      <w:r w:rsidRPr="00FD4EF2">
        <w:rPr>
          <w:bCs/>
        </w:rPr>
        <w:t xml:space="preserve">The trainer/teacher should prepare thoroughly to a guided discussion (see above) including clear operational goals.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b/>
          <w:bCs/>
          <w:sz w:val="24"/>
          <w:szCs w:val="24"/>
        </w:rPr>
      </w:pPr>
      <w:r w:rsidRPr="00667274">
        <w:rPr>
          <w:bCs/>
          <w:sz w:val="24"/>
          <w:szCs w:val="24"/>
        </w:rPr>
        <w:t xml:space="preserve">The exercise is intended for adults and can be used either to work with individuals or with a small group. </w:t>
      </w:r>
    </w:p>
    <w:p w:rsidR="00667274" w:rsidRPr="00667274" w:rsidRDefault="00667274" w:rsidP="00667274">
      <w:pPr>
        <w:pStyle w:val="Odstavekseznama"/>
        <w:numPr>
          <w:ilvl w:val="0"/>
          <w:numId w:val="22"/>
        </w:numPr>
        <w:rPr>
          <w:b/>
          <w:bCs/>
          <w:sz w:val="24"/>
          <w:szCs w:val="24"/>
        </w:rPr>
      </w:pPr>
      <w:r w:rsidRPr="00667274">
        <w:rPr>
          <w:sz w:val="24"/>
          <w:szCs w:val="24"/>
        </w:rPr>
        <w:t xml:space="preserve">The trainer should take into account that working with small group demands a very high level of trust among the participants which consequently leads to more open and personal interactions.  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Default="00667274" w:rsidP="000115B0">
      <w:pPr>
        <w:rPr>
          <w:bCs/>
        </w:rPr>
      </w:pPr>
      <w:r w:rsidRPr="00FD4EF2">
        <w:rPr>
          <w:bCs/>
        </w:rPr>
        <w:t xml:space="preserve">Richard </w:t>
      </w:r>
      <w:proofErr w:type="spellStart"/>
      <w:r w:rsidRPr="00FD4EF2">
        <w:rPr>
          <w:bCs/>
        </w:rPr>
        <w:t>Bandler</w:t>
      </w:r>
      <w:proofErr w:type="spellEnd"/>
      <w:r>
        <w:rPr>
          <w:bCs/>
        </w:rPr>
        <w:t xml:space="preserve">. </w:t>
      </w:r>
    </w:p>
    <w:p w:rsidR="00667274" w:rsidRDefault="00667274" w:rsidP="00667274">
      <w:pPr>
        <w:spacing w:after="0"/>
      </w:pPr>
      <w:r w:rsidRPr="00FD4EF2">
        <w:t>NLP/ Practice book (2002, 2005)</w:t>
      </w:r>
      <w:r>
        <w:t xml:space="preserve">: The structure of magic: A book About Communication and Change (1976). </w:t>
      </w:r>
      <w:proofErr w:type="gramStart"/>
      <w:r>
        <w:t xml:space="preserve">Science and </w:t>
      </w:r>
      <w:proofErr w:type="spellStart"/>
      <w:r>
        <w:t>Behavior</w:t>
      </w:r>
      <w:proofErr w:type="spellEnd"/>
      <w:r>
        <w:t xml:space="preserve"> Book.</w:t>
      </w:r>
      <w:proofErr w:type="gramEnd"/>
      <w:r>
        <w:t xml:space="preserve"> </w:t>
      </w:r>
    </w:p>
    <w:p w:rsidR="00667274" w:rsidRDefault="00302D80" w:rsidP="00667274">
      <w:pPr>
        <w:spacing w:after="0"/>
      </w:pPr>
      <w:hyperlink r:id="rId8" w:history="1">
        <w:r w:rsidR="00667274" w:rsidRPr="00ED6267">
          <w:rPr>
            <w:rStyle w:val="Hiperpovezava"/>
          </w:rPr>
          <w:t>www.richardbandler.com</w:t>
        </w:r>
      </w:hyperlink>
      <w:r w:rsidR="00667274">
        <w:t xml:space="preserve"> </w:t>
      </w:r>
    </w:p>
    <w:p w:rsidR="00667274" w:rsidRDefault="00302D80" w:rsidP="00667274">
      <w:pPr>
        <w:spacing w:after="0"/>
      </w:pPr>
      <w:hyperlink r:id="rId9" w:history="1">
        <w:r w:rsidR="00667274" w:rsidRPr="00ED6267">
          <w:rPr>
            <w:rStyle w:val="Hiperpovezava"/>
          </w:rPr>
          <w:t>www.mastermindakademija.com</w:t>
        </w:r>
      </w:hyperlink>
    </w:p>
    <w:p w:rsidR="00667274" w:rsidRPr="00FD4EF2" w:rsidRDefault="00667274" w:rsidP="00667274">
      <w:pPr>
        <w:spacing w:after="0"/>
      </w:pPr>
      <w:r>
        <w:t xml:space="preserve">Sonja </w:t>
      </w:r>
      <w:proofErr w:type="spellStart"/>
      <w:r>
        <w:t>Bercko</w:t>
      </w:r>
      <w:proofErr w:type="spellEnd"/>
      <w:r>
        <w:t xml:space="preserve"> adapted exercise!!</w:t>
      </w:r>
    </w:p>
    <w:p w:rsidR="00BB1470" w:rsidRDefault="0064630B" w:rsidP="00C3071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667274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0C" w:rsidRDefault="00CC060C" w:rsidP="000D1CD3">
      <w:pPr>
        <w:spacing w:after="0" w:line="240" w:lineRule="auto"/>
      </w:pPr>
      <w:r>
        <w:separator/>
      </w:r>
    </w:p>
  </w:endnote>
  <w:end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0C" w:rsidRDefault="00CC060C" w:rsidP="000D1CD3">
      <w:pPr>
        <w:spacing w:after="0" w:line="240" w:lineRule="auto"/>
      </w:pPr>
      <w:r>
        <w:separator/>
      </w:r>
    </w:p>
  </w:footnote>
  <w:footnote w:type="continuationSeparator" w:id="0">
    <w:p w:rsidR="00CC060C" w:rsidRDefault="00CC060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2D80"/>
    <w:rsid w:val="0030616A"/>
    <w:rsid w:val="00320376"/>
    <w:rsid w:val="00332D28"/>
    <w:rsid w:val="00350EBF"/>
    <w:rsid w:val="00365016"/>
    <w:rsid w:val="003B3661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67274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172A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ardba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termindakademija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DF9AF-0E3B-4446-9FD3-73A099E0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2014-12-13T14:04:00Z</dcterms:created>
  <dcterms:modified xsi:type="dcterms:W3CDTF">2014-12-13T14:04:00Z</dcterms:modified>
</cp:coreProperties>
</file>