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Titel"/>
        <w:pBdr>
          <w:bottom w:val="none" w:sz="0" w:space="0" w:color="auto"/>
        </w:pBdr>
        <w:rPr>
          <w:sz w:val="44"/>
        </w:rPr>
      </w:pPr>
      <w:r>
        <w:rPr>
          <w:sz w:val="44"/>
        </w:rPr>
        <w:t>Title:</w:t>
      </w:r>
    </w:p>
    <w:p w:rsidR="00E34E16" w:rsidRPr="008B3FF3" w:rsidRDefault="008B3FF3" w:rsidP="008B3FF3">
      <w:pPr>
        <w:pStyle w:val="Titel"/>
        <w:pBdr>
          <w:bottom w:val="none" w:sz="0" w:space="0" w:color="auto"/>
        </w:pBdr>
        <w:rPr>
          <w:sz w:val="24"/>
        </w:rPr>
      </w:pPr>
      <w:r>
        <w:rPr>
          <w:sz w:val="24"/>
        </w:rPr>
        <w:t>Exercise C</w:t>
      </w:r>
      <w:r w:rsidRPr="008B3FF3">
        <w:rPr>
          <w:sz w:val="24"/>
        </w:rPr>
        <w:t xml:space="preserve">ode: </w:t>
      </w:r>
    </w:p>
    <w:tbl>
      <w:tblPr>
        <w:tblStyle w:val="HelleSchattierung-Akzent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8.    </w:t>
            </w:r>
            <w:r>
              <w:rPr>
                <w:b w:val="0"/>
                <w:color w:val="17365D" w:themeColor="text2" w:themeShade="BF"/>
              </w:rPr>
              <w:t xml:space="preserve">  </w:t>
            </w:r>
            <w:r w:rsidRPr="000115B0">
              <w:rPr>
                <w:b w:val="0"/>
                <w:color w:val="17365D" w:themeColor="text2" w:themeShade="BF"/>
              </w:rPr>
              <w:t>Situational Awareness</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r>
              <w:rPr>
                <w:color w:val="17365D" w:themeColor="text2" w:themeShade="BF"/>
              </w:rPr>
              <w:t>Large group</w:t>
            </w: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E063F1" w:rsidP="002743E9">
            <w:pPr>
              <w:cnfStyle w:val="000000100000"/>
              <w:rPr>
                <w:color w:val="17365D" w:themeColor="text2" w:themeShade="BF"/>
              </w:rPr>
            </w:pPr>
            <w:r>
              <w:rPr>
                <w:color w:val="17365D" w:themeColor="text2" w:themeShade="BF"/>
              </w:rPr>
              <w:t>60</w:t>
            </w:r>
            <w:r w:rsidR="008E4FEA">
              <w:rPr>
                <w:color w:val="17365D" w:themeColor="text2" w:themeShade="BF"/>
              </w:rPr>
              <w:t xml:space="preserve"> min</w:t>
            </w:r>
          </w:p>
        </w:tc>
      </w:tr>
    </w:tbl>
    <w:p w:rsidR="00615923" w:rsidRDefault="00271FF4" w:rsidP="00615923">
      <w:pPr>
        <w:pStyle w:val="berschrift1"/>
        <w:rPr>
          <w:color w:val="17365D" w:themeColor="text2" w:themeShade="BF"/>
        </w:rPr>
      </w:pPr>
      <w:r>
        <w:rPr>
          <w:color w:val="17365D" w:themeColor="text2" w:themeShade="BF"/>
        </w:rPr>
        <w:t>Purpose</w:t>
      </w:r>
      <w:r w:rsidR="00615923" w:rsidRPr="00C30713">
        <w:rPr>
          <w:color w:val="17365D" w:themeColor="text2" w:themeShade="BF"/>
        </w:rPr>
        <w:t>:</w:t>
      </w:r>
    </w:p>
    <w:p w:rsidR="00E063F1" w:rsidRDefault="00E063F1" w:rsidP="00E063F1">
      <w:r w:rsidRPr="000477DF">
        <w:t xml:space="preserve">This exercise shall serve to clarify </w:t>
      </w:r>
      <w:r>
        <w:t xml:space="preserve">the </w:t>
      </w:r>
      <w:r w:rsidRPr="000477DF">
        <w:t xml:space="preserve">terms </w:t>
      </w:r>
      <w:r>
        <w:t>“functional illiteracy” and “basic skills”. It will lead to an i</w:t>
      </w:r>
      <w:r w:rsidRPr="000477DF">
        <w:t>ntensive exchange of experience at dealing with the target group of clients affected by reading and writing deficits</w:t>
      </w:r>
      <w:r>
        <w:t>.</w:t>
      </w:r>
    </w:p>
    <w:p w:rsidR="000115B0" w:rsidRPr="000115B0" w:rsidRDefault="000115B0" w:rsidP="000115B0"/>
    <w:p w:rsidR="00615923" w:rsidRDefault="00615923" w:rsidP="00CB5669">
      <w:pPr>
        <w:pStyle w:val="berschrift1"/>
        <w:rPr>
          <w:color w:val="17365D" w:themeColor="text2" w:themeShade="BF"/>
        </w:rPr>
      </w:pPr>
      <w:r w:rsidRPr="00C30713">
        <w:rPr>
          <w:color w:val="17365D" w:themeColor="text2" w:themeShade="BF"/>
        </w:rPr>
        <w:t>Description:</w:t>
      </w:r>
    </w:p>
    <w:p w:rsidR="00E063F1" w:rsidRPr="000477DF" w:rsidRDefault="00E063F1" w:rsidP="00E063F1">
      <w:r>
        <w:t>Participants</w:t>
      </w:r>
      <w:r w:rsidRPr="000477DF">
        <w:t xml:space="preserve"> are divided into four groups, discussing one case each.</w:t>
      </w:r>
    </w:p>
    <w:p w:rsidR="00E063F1" w:rsidRPr="000477DF" w:rsidRDefault="00E063F1" w:rsidP="00E063F1">
      <w:r w:rsidRPr="000477DF">
        <w:t xml:space="preserve">They share ideas of how to deal with respective clients and offer most suitable counselling. By developing the group’s “counselling concept” they should integrate theoretical and practical knowledge already acquired in the first stage of the course. After that, group results are presented to all participants and the trainer and then discussed and evaluated together.    </w:t>
      </w:r>
    </w:p>
    <w:p w:rsidR="000115B0" w:rsidRPr="000115B0" w:rsidRDefault="000115B0" w:rsidP="000115B0"/>
    <w:p w:rsidR="00615923" w:rsidRDefault="00615923" w:rsidP="00CB5669">
      <w:pPr>
        <w:pStyle w:val="berschrift1"/>
        <w:rPr>
          <w:color w:val="17365D" w:themeColor="text2" w:themeShade="BF"/>
        </w:rPr>
      </w:pPr>
      <w:r w:rsidRPr="00C30713">
        <w:rPr>
          <w:color w:val="17365D" w:themeColor="text2" w:themeShade="BF"/>
        </w:rPr>
        <w:t>Material:</w:t>
      </w:r>
    </w:p>
    <w:p w:rsidR="000115B0" w:rsidRPr="000115B0" w:rsidRDefault="000115B0" w:rsidP="000115B0"/>
    <w:p w:rsidR="00B91FAB" w:rsidRDefault="0064630B" w:rsidP="00CB5669">
      <w:pPr>
        <w:pStyle w:val="berschrift1"/>
        <w:rPr>
          <w:color w:val="17365D" w:themeColor="text2" w:themeShade="BF"/>
        </w:rPr>
      </w:pPr>
      <w:r>
        <w:rPr>
          <w:color w:val="17365D" w:themeColor="text2" w:themeShade="BF"/>
        </w:rPr>
        <w:t>Methods</w:t>
      </w:r>
      <w:r w:rsidR="00615923" w:rsidRPr="00C30713">
        <w:rPr>
          <w:color w:val="17365D" w:themeColor="text2" w:themeShade="BF"/>
        </w:rPr>
        <w:t>:</w:t>
      </w:r>
    </w:p>
    <w:p w:rsidR="000115B0" w:rsidRPr="000115B0" w:rsidRDefault="00E063F1" w:rsidP="000115B0">
      <w:r w:rsidRPr="00CB2365">
        <w:t>Share ideas of how to deal with respective clients and offer most suitable counselling</w:t>
      </w:r>
    </w:p>
    <w:p w:rsidR="00615923" w:rsidRDefault="0064630B" w:rsidP="00CB5669">
      <w:pPr>
        <w:pStyle w:val="berschrift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0115B0" w:rsidRPr="000115B0" w:rsidRDefault="000115B0" w:rsidP="000115B0"/>
    <w:p w:rsidR="00615923" w:rsidRDefault="00615923" w:rsidP="00615923">
      <w:pPr>
        <w:pStyle w:val="berschrift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115B0" w:rsidRPr="000115B0" w:rsidRDefault="000115B0" w:rsidP="000115B0"/>
    <w:p w:rsidR="00BB1470" w:rsidRDefault="0064630B" w:rsidP="00C30713">
      <w:pPr>
        <w:pStyle w:val="berschrift1"/>
        <w:rPr>
          <w:color w:val="17365D" w:themeColor="text2" w:themeShade="BF"/>
        </w:rPr>
      </w:pPr>
      <w:r>
        <w:rPr>
          <w:color w:val="17365D" w:themeColor="text2" w:themeShade="BF"/>
        </w:rPr>
        <w:lastRenderedPageBreak/>
        <w:t>Handouts</w:t>
      </w:r>
      <w:r w:rsidR="00C30713" w:rsidRPr="00C30713">
        <w:rPr>
          <w:color w:val="17365D" w:themeColor="text2" w:themeShade="BF"/>
        </w:rPr>
        <w:t>:</w:t>
      </w:r>
    </w:p>
    <w:p w:rsidR="00C30713" w:rsidRDefault="00E063F1" w:rsidP="000115B0">
      <w:r>
        <w:t>LOC S.130</w:t>
      </w:r>
    </w:p>
    <w:p w:rsidR="009C113C" w:rsidRDefault="009C113C" w:rsidP="009C113C">
      <w:pPr>
        <w:pStyle w:val="berschrift1"/>
        <w:rPr>
          <w:color w:val="17365D" w:themeColor="text2" w:themeShade="BF"/>
        </w:rPr>
      </w:pPr>
      <w:r>
        <w:rPr>
          <w:color w:val="17365D" w:themeColor="text2" w:themeShade="BF"/>
        </w:rPr>
        <w:t>Contributor</w:t>
      </w:r>
      <w:r w:rsidRPr="00C30713">
        <w:rPr>
          <w:color w:val="17365D" w:themeColor="text2" w:themeShade="BF"/>
        </w:rPr>
        <w:t>:</w:t>
      </w:r>
      <w:r w:rsidR="00E063F1">
        <w:rPr>
          <w:color w:val="17365D" w:themeColor="text2" w:themeShade="BF"/>
        </w:rPr>
        <w:t xml:space="preserve"> ECC</w:t>
      </w:r>
    </w:p>
    <w:p w:rsidR="009C113C" w:rsidRPr="00C30713" w:rsidRDefault="009C113C" w:rsidP="000115B0"/>
    <w:sectPr w:rsidR="009C113C"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Fuzeile"/>
      <w:jc w:val="center"/>
    </w:pPr>
    <w:r>
      <w:rPr>
        <w:noProof/>
        <w:lang w:val="de-AT" w:eastAsia="de-A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Fuzeile"/>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Fuzeile"/>
      <w:rPr>
        <w:sz w:val="14"/>
        <w:szCs w:val="14"/>
      </w:rPr>
    </w:pPr>
  </w:p>
  <w:p w:rsidR="0064630B" w:rsidRDefault="00AF4D6B" w:rsidP="007A5362">
    <w:pPr>
      <w:pStyle w:val="Fuzeile"/>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Titel"/>
      <w:pBdr>
        <w:bottom w:val="none" w:sz="0" w:space="0" w:color="auto"/>
      </w:pBdr>
    </w:pPr>
    <w:r>
      <w:rPr>
        <w:noProof/>
        <w:lang w:val="de-AT" w:eastAsia="de-A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C113C"/>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23C0F"/>
    <w:rsid w:val="00C30713"/>
    <w:rsid w:val="00C63C35"/>
    <w:rsid w:val="00C70780"/>
    <w:rsid w:val="00CB3C0A"/>
    <w:rsid w:val="00CB5669"/>
    <w:rsid w:val="00CC060C"/>
    <w:rsid w:val="00CC24CA"/>
    <w:rsid w:val="00CE2C18"/>
    <w:rsid w:val="00D11D47"/>
    <w:rsid w:val="00D22DBC"/>
    <w:rsid w:val="00DA0B5C"/>
    <w:rsid w:val="00DB016A"/>
    <w:rsid w:val="00DE3606"/>
    <w:rsid w:val="00E063F1"/>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2522"/>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gitternetz">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31560-5309-4E55-9CEC-314E1B38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864</Characters>
  <Application>Microsoft Office Word</Application>
  <DocSecurity>0</DocSecurity>
  <Lines>7</Lines>
  <Paragraphs>1</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WE</cp:lastModifiedBy>
  <cp:revision>2</cp:revision>
  <dcterms:created xsi:type="dcterms:W3CDTF">2014-03-18T22:06:00Z</dcterms:created>
  <dcterms:modified xsi:type="dcterms:W3CDTF">2014-03-18T22:06:00Z</dcterms:modified>
</cp:coreProperties>
</file>